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D3" w:rsidRPr="00396A58" w:rsidRDefault="00BF5ED3" w:rsidP="001E51B1">
      <w:pPr>
        <w:pStyle w:val="Heading1"/>
      </w:pPr>
      <w:bookmarkStart w:id="0" w:name="_GoBack"/>
      <w:bookmarkEnd w:id="0"/>
      <w:r w:rsidRPr="00396A58">
        <w:t>Comparison of Success Rates in College Level Courses of Students Enrolled in Developmental Courses</w:t>
      </w:r>
      <w:r w:rsidR="00D23C53" w:rsidRPr="00396A58">
        <w:t xml:space="preserve"> in the 2008-2009 Academic Year</w:t>
      </w:r>
      <w:r w:rsidRPr="00396A58">
        <w:t xml:space="preserve"> with Students Enrolled in </w:t>
      </w:r>
      <w:r w:rsidR="00D23C53" w:rsidRPr="00396A58">
        <w:t xml:space="preserve">Redesigned </w:t>
      </w:r>
      <w:r w:rsidRPr="00396A58">
        <w:t>Developmental Courses</w:t>
      </w:r>
      <w:r w:rsidR="00D23C53" w:rsidRPr="00396A58">
        <w:t xml:space="preserve"> in </w:t>
      </w:r>
      <w:r w:rsidR="00B55CAE" w:rsidRPr="00396A58">
        <w:t>A</w:t>
      </w:r>
      <w:r w:rsidR="00823F72" w:rsidRPr="00396A58">
        <w:t xml:space="preserve">cademic </w:t>
      </w:r>
      <w:r w:rsidR="00B55CAE" w:rsidRPr="00396A58">
        <w:t>Y</w:t>
      </w:r>
      <w:r w:rsidR="00823F72" w:rsidRPr="00396A58">
        <w:t xml:space="preserve">ear </w:t>
      </w:r>
      <w:r w:rsidR="00B55CAE" w:rsidRPr="00396A58">
        <w:t>2014-2015</w:t>
      </w:r>
    </w:p>
    <w:p w:rsidR="00CC7A64" w:rsidRPr="00396A58" w:rsidRDefault="0086115F" w:rsidP="001E51B1">
      <w:pPr>
        <w:pStyle w:val="Heading2"/>
      </w:pPr>
      <w:r w:rsidRPr="00396A58">
        <w:t>Introduction</w:t>
      </w:r>
    </w:p>
    <w:p w:rsidR="00423D35" w:rsidRPr="00396A58" w:rsidRDefault="00423D35" w:rsidP="00332AE2">
      <w:r w:rsidRPr="00396A58">
        <w:t xml:space="preserve">This study compares two cohorts of developmental education students. The comparison cohort is </w:t>
      </w:r>
      <w:r w:rsidR="00D23C53" w:rsidRPr="00396A58">
        <w:t>from the</w:t>
      </w:r>
      <w:r w:rsidRPr="00396A58">
        <w:t xml:space="preserve"> </w:t>
      </w:r>
      <w:r w:rsidR="007B680B" w:rsidRPr="00396A58">
        <w:t>2008-</w:t>
      </w:r>
      <w:r w:rsidRPr="00396A58">
        <w:t>2009</w:t>
      </w:r>
      <w:r w:rsidR="00D23C53" w:rsidRPr="00396A58">
        <w:t xml:space="preserve"> academic year</w:t>
      </w:r>
      <w:r w:rsidRPr="00396A58">
        <w:t>, the last year that</w:t>
      </w:r>
      <w:r w:rsidR="007D6A7B" w:rsidRPr="00396A58">
        <w:t xml:space="preserve"> </w:t>
      </w:r>
      <w:r w:rsidRPr="00396A58">
        <w:t xml:space="preserve">the traditional </w:t>
      </w:r>
      <w:r w:rsidR="007D6A7B" w:rsidRPr="00396A58">
        <w:t xml:space="preserve">developmental education </w:t>
      </w:r>
      <w:r w:rsidRPr="00396A58">
        <w:t xml:space="preserve">sequence was the standard </w:t>
      </w:r>
      <w:r w:rsidR="00B56E6B" w:rsidRPr="00396A58">
        <w:t>for</w:t>
      </w:r>
      <w:r w:rsidR="007B7993" w:rsidRPr="00396A58">
        <w:t xml:space="preserve"> Colorado </w:t>
      </w:r>
      <w:r w:rsidR="00F24C7B" w:rsidRPr="00396A58">
        <w:t>c</w:t>
      </w:r>
      <w:r w:rsidR="007B7993" w:rsidRPr="00396A58">
        <w:t xml:space="preserve">ommunity </w:t>
      </w:r>
      <w:r w:rsidR="00F24C7B" w:rsidRPr="00396A58">
        <w:t>c</w:t>
      </w:r>
      <w:r w:rsidR="007B7993" w:rsidRPr="00396A58">
        <w:t>olleges</w:t>
      </w:r>
      <w:r w:rsidRPr="00396A58">
        <w:t xml:space="preserve"> and the year </w:t>
      </w:r>
      <w:r w:rsidR="007D6A7B" w:rsidRPr="00396A58">
        <w:t>before innovation projects began through the Complete College America</w:t>
      </w:r>
      <w:r w:rsidR="007B680B" w:rsidRPr="00396A58">
        <w:t xml:space="preserve"> and TAACCCT</w:t>
      </w:r>
      <w:r w:rsidR="007D6A7B" w:rsidRPr="00396A58">
        <w:t xml:space="preserve"> grant programs.</w:t>
      </w:r>
      <w:r w:rsidR="007B680B" w:rsidRPr="00396A58">
        <w:t xml:space="preserve"> The 2008-2009 cohort was also selected so that</w:t>
      </w:r>
      <w:r w:rsidR="007B7993" w:rsidRPr="00396A58">
        <w:t>,</w:t>
      </w:r>
      <w:r w:rsidR="007B680B" w:rsidRPr="00396A58">
        <w:t xml:space="preserve"> in looking at completion in a three</w:t>
      </w:r>
      <w:r w:rsidR="00F24C7B" w:rsidRPr="00396A58">
        <w:t>-</w:t>
      </w:r>
      <w:r w:rsidR="007B680B" w:rsidRPr="00396A58">
        <w:t>year time period</w:t>
      </w:r>
      <w:r w:rsidR="007B7993" w:rsidRPr="00396A58">
        <w:t>,</w:t>
      </w:r>
      <w:r w:rsidR="007B680B" w:rsidRPr="00396A58">
        <w:t xml:space="preserve"> students would not overlap with any of the students in the fall 2013 cohort group</w:t>
      </w:r>
      <w:r w:rsidR="00B55CAE" w:rsidRPr="00396A58">
        <w:t>, the first year of implementation of the developmental education redesign</w:t>
      </w:r>
      <w:r w:rsidR="007B680B" w:rsidRPr="00396A58">
        <w:t xml:space="preserve">. </w:t>
      </w:r>
    </w:p>
    <w:p w:rsidR="009F452D" w:rsidRPr="00396A58" w:rsidRDefault="009F452D" w:rsidP="009F452D">
      <w:pPr>
        <w:spacing w:after="0"/>
      </w:pPr>
      <w:r w:rsidRPr="00396A58">
        <w:rPr>
          <w:b/>
        </w:rPr>
        <w:t>Table</w:t>
      </w:r>
      <w:r w:rsidRPr="00396A58">
        <w:t xml:space="preserve"> </w:t>
      </w:r>
      <w:r w:rsidRPr="00396A58">
        <w:rPr>
          <w:b/>
        </w:rPr>
        <w:t>1</w:t>
      </w:r>
      <w:r w:rsidRPr="00396A58">
        <w:t xml:space="preserve"> provides a summary of </w:t>
      </w:r>
      <w:r w:rsidR="00A8632E" w:rsidRPr="00396A58">
        <w:t xml:space="preserve">aggregate </w:t>
      </w:r>
      <w:r w:rsidR="00D42F97" w:rsidRPr="00396A58">
        <w:t xml:space="preserve">1-year </w:t>
      </w:r>
      <w:r w:rsidRPr="00396A58">
        <w:t>rates</w:t>
      </w:r>
      <w:r w:rsidR="00A8632E" w:rsidRPr="00396A58">
        <w:t xml:space="preserve"> of success in college courses</w:t>
      </w:r>
      <w:r w:rsidR="00283CE4" w:rsidRPr="00396A58">
        <w:t xml:space="preserve"> from</w:t>
      </w:r>
      <w:r w:rsidRPr="00396A58">
        <w:t xml:space="preserve"> the 2008-2009 </w:t>
      </w:r>
      <w:r w:rsidR="0037630F" w:rsidRPr="00396A58">
        <w:t xml:space="preserve">developmental </w:t>
      </w:r>
      <w:r w:rsidRPr="00396A58">
        <w:t xml:space="preserve">cohort </w:t>
      </w:r>
      <w:r w:rsidR="00A8632E" w:rsidRPr="00396A58">
        <w:t>and</w:t>
      </w:r>
      <w:r w:rsidRPr="00396A58">
        <w:t xml:space="preserve"> the 2014-2015 </w:t>
      </w:r>
      <w:r w:rsidR="0037630F" w:rsidRPr="00396A58">
        <w:t xml:space="preserve">developmental </w:t>
      </w:r>
      <w:r w:rsidR="00A8632E" w:rsidRPr="00396A58">
        <w:t>cohort</w:t>
      </w:r>
      <w:r w:rsidRPr="00396A58">
        <w:t xml:space="preserve">. </w:t>
      </w:r>
      <w:r w:rsidR="00A8632E" w:rsidRPr="00396A58">
        <w:t xml:space="preserve"> Math outcome courses include MAT 103, MAT 107, MAT 108, MAT 112, MAT 120, MAT 121, MAT 135, MAT 155, and MAT 156. The college course chosen for evaluating the impact of developmental language courses was ENG 121 English Composition.</w:t>
      </w:r>
    </w:p>
    <w:p w:rsidR="009F452D" w:rsidRDefault="009F452D" w:rsidP="001E51B1">
      <w:pPr>
        <w:pStyle w:val="Heading2"/>
        <w:rPr>
          <w:rFonts w:asciiTheme="minorHAnsi" w:hAnsiTheme="minorHAnsi"/>
          <w:color w:val="auto"/>
          <w:sz w:val="22"/>
          <w:szCs w:val="22"/>
        </w:rPr>
      </w:pPr>
      <w:r w:rsidRPr="00396A58">
        <w:rPr>
          <w:rFonts w:asciiTheme="minorHAnsi" w:hAnsiTheme="minorHAnsi"/>
          <w:color w:val="auto"/>
          <w:sz w:val="22"/>
          <w:szCs w:val="22"/>
        </w:rPr>
        <w:t xml:space="preserve">Table 1. </w:t>
      </w:r>
      <w:r w:rsidR="002161E1" w:rsidRPr="00396A58">
        <w:rPr>
          <w:rFonts w:asciiTheme="minorHAnsi" w:hAnsiTheme="minorHAnsi"/>
          <w:color w:val="auto"/>
          <w:sz w:val="22"/>
          <w:szCs w:val="22"/>
        </w:rPr>
        <w:t xml:space="preserve">Aggregate </w:t>
      </w:r>
      <w:r w:rsidR="00D42F97" w:rsidRPr="00396A58">
        <w:rPr>
          <w:rFonts w:asciiTheme="minorHAnsi" w:hAnsiTheme="minorHAnsi"/>
          <w:color w:val="auto"/>
          <w:sz w:val="22"/>
          <w:szCs w:val="22"/>
        </w:rPr>
        <w:t xml:space="preserve">1-Year </w:t>
      </w:r>
      <w:r w:rsidR="00283CE4" w:rsidRPr="00396A58">
        <w:rPr>
          <w:rFonts w:asciiTheme="minorHAnsi" w:hAnsiTheme="minorHAnsi"/>
          <w:color w:val="auto"/>
          <w:sz w:val="22"/>
          <w:szCs w:val="22"/>
        </w:rPr>
        <w:t>Pass Rates</w:t>
      </w:r>
      <w:r w:rsidR="0049101C">
        <w:rPr>
          <w:rFonts w:asciiTheme="minorHAnsi" w:hAnsiTheme="minorHAnsi"/>
          <w:color w:val="auto"/>
          <w:sz w:val="22"/>
          <w:szCs w:val="22"/>
        </w:rPr>
        <w:t xml:space="preserve"> for DE Course Completers</w:t>
      </w:r>
      <w:r w:rsidR="00283CE4" w:rsidRPr="00396A58">
        <w:rPr>
          <w:rFonts w:asciiTheme="minorHAnsi" w:hAnsiTheme="minorHAnsi"/>
          <w:color w:val="auto"/>
          <w:sz w:val="22"/>
          <w:szCs w:val="22"/>
        </w:rPr>
        <w:t xml:space="preserve"> in the College Course: D</w:t>
      </w:r>
      <w:r w:rsidRPr="00396A58">
        <w:rPr>
          <w:rFonts w:asciiTheme="minorHAnsi" w:hAnsiTheme="minorHAnsi"/>
          <w:color w:val="auto"/>
          <w:sz w:val="22"/>
          <w:szCs w:val="22"/>
        </w:rPr>
        <w:t xml:space="preserve">iscipline </w:t>
      </w:r>
      <w:r w:rsidR="00283CE4" w:rsidRPr="00396A58">
        <w:rPr>
          <w:rFonts w:asciiTheme="minorHAnsi" w:hAnsiTheme="minorHAnsi"/>
          <w:color w:val="auto"/>
          <w:sz w:val="22"/>
          <w:szCs w:val="22"/>
        </w:rPr>
        <w:t>C</w:t>
      </w:r>
      <w:r w:rsidRPr="00396A58">
        <w:rPr>
          <w:rFonts w:asciiTheme="minorHAnsi" w:hAnsiTheme="minorHAnsi"/>
          <w:color w:val="auto"/>
          <w:sz w:val="22"/>
          <w:szCs w:val="22"/>
        </w:rPr>
        <w:t>omparison.</w:t>
      </w:r>
    </w:p>
    <w:p w:rsidR="00E50938" w:rsidRPr="00E50938" w:rsidRDefault="00E50938" w:rsidP="00E50938"/>
    <w:tbl>
      <w:tblPr>
        <w:tblStyle w:val="TableGrid"/>
        <w:tblW w:w="0" w:type="auto"/>
        <w:jc w:val="center"/>
        <w:tblLook w:val="04A0" w:firstRow="1" w:lastRow="0" w:firstColumn="1" w:lastColumn="0" w:noHBand="0" w:noVBand="1"/>
      </w:tblPr>
      <w:tblGrid>
        <w:gridCol w:w="2467"/>
        <w:gridCol w:w="1735"/>
        <w:gridCol w:w="2005"/>
      </w:tblGrid>
      <w:tr w:rsidR="0027341D" w:rsidRPr="00396A58" w:rsidTr="0049101C">
        <w:trPr>
          <w:jc w:val="center"/>
        </w:trPr>
        <w:tc>
          <w:tcPr>
            <w:tcW w:w="2467" w:type="dxa"/>
          </w:tcPr>
          <w:p w:rsidR="0027341D" w:rsidRPr="00396A58" w:rsidRDefault="0027341D" w:rsidP="009F452D"/>
        </w:tc>
        <w:tc>
          <w:tcPr>
            <w:tcW w:w="1735" w:type="dxa"/>
          </w:tcPr>
          <w:p w:rsidR="0027341D" w:rsidRPr="00396A58" w:rsidRDefault="0027341D" w:rsidP="009F452D">
            <w:r w:rsidRPr="00396A58">
              <w:t>Pre-redesign 2008-2009</w:t>
            </w:r>
          </w:p>
        </w:tc>
        <w:tc>
          <w:tcPr>
            <w:tcW w:w="2005" w:type="dxa"/>
          </w:tcPr>
          <w:p w:rsidR="0049101C" w:rsidRDefault="0049101C" w:rsidP="0049101C">
            <w:r>
              <w:t xml:space="preserve">Post-redesign </w:t>
            </w:r>
          </w:p>
          <w:p w:rsidR="0027341D" w:rsidRPr="00396A58" w:rsidRDefault="0027341D" w:rsidP="0049101C">
            <w:r>
              <w:t xml:space="preserve">2014-2015 </w:t>
            </w:r>
          </w:p>
        </w:tc>
      </w:tr>
      <w:tr w:rsidR="0049101C" w:rsidRPr="00B851C8" w:rsidTr="0049101C">
        <w:trPr>
          <w:jc w:val="center"/>
        </w:trPr>
        <w:tc>
          <w:tcPr>
            <w:tcW w:w="2467" w:type="dxa"/>
          </w:tcPr>
          <w:p w:rsidR="0049101C" w:rsidRPr="00396A58" w:rsidRDefault="0049101C" w:rsidP="0049101C">
            <w:r w:rsidRPr="00396A58">
              <w:t>Developmental Language (English/Reading/CCR)</w:t>
            </w:r>
          </w:p>
        </w:tc>
        <w:tc>
          <w:tcPr>
            <w:tcW w:w="1735" w:type="dxa"/>
            <w:vAlign w:val="center"/>
          </w:tcPr>
          <w:p w:rsidR="0049101C" w:rsidRPr="00B851C8" w:rsidRDefault="0049101C" w:rsidP="0049101C">
            <w:pPr>
              <w:jc w:val="center"/>
            </w:pPr>
            <w:r w:rsidRPr="006F0FEC">
              <w:rPr>
                <w:bCs/>
                <w:color w:val="000000"/>
              </w:rPr>
              <w:t>36%</w:t>
            </w:r>
          </w:p>
        </w:tc>
        <w:tc>
          <w:tcPr>
            <w:tcW w:w="2005" w:type="dxa"/>
            <w:vAlign w:val="center"/>
          </w:tcPr>
          <w:p w:rsidR="0049101C" w:rsidRPr="00B851C8" w:rsidRDefault="0049101C" w:rsidP="0049101C">
            <w:pPr>
              <w:jc w:val="center"/>
              <w:rPr>
                <w:rFonts w:ascii="Calibri" w:hAnsi="Calibri"/>
                <w:bCs/>
                <w:color w:val="000000"/>
              </w:rPr>
            </w:pPr>
            <w:r w:rsidRPr="004251A0">
              <w:rPr>
                <w:bCs/>
                <w:color w:val="000000"/>
              </w:rPr>
              <w:t>60%</w:t>
            </w:r>
          </w:p>
        </w:tc>
      </w:tr>
      <w:tr w:rsidR="0027341D" w:rsidRPr="00396A58" w:rsidTr="0049101C">
        <w:trPr>
          <w:trHeight w:val="404"/>
          <w:jc w:val="center"/>
        </w:trPr>
        <w:tc>
          <w:tcPr>
            <w:tcW w:w="2467" w:type="dxa"/>
          </w:tcPr>
          <w:p w:rsidR="0027341D" w:rsidRPr="00396A58" w:rsidRDefault="0049101C" w:rsidP="0049101C">
            <w:r w:rsidRPr="00396A58">
              <w:t>Developmental Math</w:t>
            </w:r>
          </w:p>
        </w:tc>
        <w:tc>
          <w:tcPr>
            <w:tcW w:w="1735" w:type="dxa"/>
            <w:vAlign w:val="center"/>
          </w:tcPr>
          <w:p w:rsidR="0027341D" w:rsidRPr="00B851C8" w:rsidRDefault="000F0DAF" w:rsidP="0049101C">
            <w:pPr>
              <w:jc w:val="center"/>
            </w:pPr>
            <w:r>
              <w:rPr>
                <w:rFonts w:ascii="Calibri" w:hAnsi="Calibri"/>
                <w:bCs/>
                <w:color w:val="000000"/>
              </w:rPr>
              <w:t>16</w:t>
            </w:r>
            <w:r w:rsidR="0049101C">
              <w:rPr>
                <w:rFonts w:ascii="Calibri" w:hAnsi="Calibri"/>
                <w:bCs/>
                <w:color w:val="000000"/>
              </w:rPr>
              <w:t>%</w:t>
            </w:r>
          </w:p>
        </w:tc>
        <w:tc>
          <w:tcPr>
            <w:tcW w:w="2005" w:type="dxa"/>
            <w:vAlign w:val="center"/>
          </w:tcPr>
          <w:p w:rsidR="0027341D" w:rsidRPr="00B851C8" w:rsidRDefault="000F0DAF" w:rsidP="0049101C">
            <w:pPr>
              <w:jc w:val="center"/>
              <w:rPr>
                <w:rFonts w:ascii="Calibri" w:hAnsi="Calibri"/>
                <w:bCs/>
                <w:color w:val="000000"/>
              </w:rPr>
            </w:pPr>
            <w:r>
              <w:rPr>
                <w:bCs/>
                <w:color w:val="000000"/>
              </w:rPr>
              <w:t>30</w:t>
            </w:r>
            <w:r w:rsidR="0049101C" w:rsidRPr="00D14FFD">
              <w:rPr>
                <w:bCs/>
                <w:color w:val="000000"/>
              </w:rPr>
              <w:t>%</w:t>
            </w:r>
          </w:p>
        </w:tc>
      </w:tr>
    </w:tbl>
    <w:p w:rsidR="00A8632E" w:rsidRPr="00396A58" w:rsidRDefault="00A8632E">
      <w:pPr>
        <w:rPr>
          <w:rFonts w:asciiTheme="majorHAnsi" w:eastAsiaTheme="majorEastAsia" w:hAnsiTheme="majorHAnsi" w:cstheme="majorBidi"/>
          <w:b/>
          <w:bCs/>
          <w:color w:val="4F81BD" w:themeColor="accent1"/>
          <w:sz w:val="26"/>
          <w:szCs w:val="26"/>
        </w:rPr>
      </w:pPr>
    </w:p>
    <w:p w:rsidR="00897306" w:rsidRPr="00396A58" w:rsidRDefault="00B96F39" w:rsidP="001E51B1">
      <w:pPr>
        <w:pStyle w:val="Heading2"/>
      </w:pPr>
      <w:r w:rsidRPr="00396A58">
        <w:t>Registration in</w:t>
      </w:r>
      <w:r w:rsidR="00332AE2" w:rsidRPr="00396A58">
        <w:t xml:space="preserve"> Developmental Education Courses</w:t>
      </w:r>
    </w:p>
    <w:p w:rsidR="009816C3" w:rsidRPr="00396A58" w:rsidRDefault="009816C3" w:rsidP="009816C3">
      <w:pPr>
        <w:spacing w:after="0"/>
      </w:pPr>
      <w:r w:rsidRPr="00396A58">
        <w:rPr>
          <w:b/>
        </w:rPr>
        <w:t>Table</w:t>
      </w:r>
      <w:r w:rsidRPr="00396A58">
        <w:t xml:space="preserve"> </w:t>
      </w:r>
      <w:r w:rsidR="0059787C" w:rsidRPr="00396A58">
        <w:rPr>
          <w:b/>
        </w:rPr>
        <w:t>2</w:t>
      </w:r>
      <w:r w:rsidRPr="00396A58">
        <w:t xml:space="preserve"> and </w:t>
      </w:r>
      <w:r w:rsidR="0059787C" w:rsidRPr="00396A58">
        <w:rPr>
          <w:b/>
        </w:rPr>
        <w:t>Table 3</w:t>
      </w:r>
      <w:r w:rsidRPr="00396A58">
        <w:t xml:space="preserve"> compare the unduplicated enrollment counts for the colleges and courses examined in this report. </w:t>
      </w:r>
    </w:p>
    <w:p w:rsidR="009816C3" w:rsidRPr="00396A58" w:rsidRDefault="00107E3A" w:rsidP="00AE4774">
      <w:pPr>
        <w:spacing w:after="0"/>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3446780</wp:posOffset>
                </wp:positionH>
                <wp:positionV relativeFrom="paragraph">
                  <wp:posOffset>127000</wp:posOffset>
                </wp:positionV>
                <wp:extent cx="3220085" cy="17252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725295"/>
                        </a:xfrm>
                        <a:prstGeom prst="rect">
                          <a:avLst/>
                        </a:prstGeom>
                        <a:noFill/>
                        <a:ln w="9525">
                          <a:noFill/>
                          <a:miter lim="800000"/>
                          <a:headEnd/>
                          <a:tailEnd/>
                        </a:ln>
                      </wps:spPr>
                      <wps:txbx>
                        <w:txbxContent>
                          <w:p w:rsidR="009F24DA" w:rsidRDefault="009F24DA" w:rsidP="009816C3">
                            <w:pPr>
                              <w:spacing w:after="0"/>
                              <w:ind w:left="-180"/>
                            </w:pPr>
                            <w:r>
                              <w:rPr>
                                <w:b/>
                              </w:rPr>
                              <w:t xml:space="preserve">Table 3. </w:t>
                            </w:r>
                            <w:r w:rsidRPr="00116818">
                              <w:rPr>
                                <w:b/>
                              </w:rPr>
                              <w:t xml:space="preserve">Academic Year 2014-2015 Headcount Compared </w:t>
                            </w:r>
                            <w:r>
                              <w:rPr>
                                <w:b/>
                              </w:rPr>
                              <w:t>to Developmental</w:t>
                            </w:r>
                            <w:r w:rsidRPr="00116818">
                              <w:rPr>
                                <w:b/>
                              </w:rPr>
                              <w:t xml:space="preserve"> Education Registration</w:t>
                            </w:r>
                            <w:r w:rsidRPr="00757747">
                              <w:rPr>
                                <w:b/>
                              </w:rPr>
                              <w:t>.</w:t>
                            </w:r>
                          </w:p>
                          <w:p w:rsidR="009F24DA" w:rsidRDefault="009F24DA" w:rsidP="009816C3">
                            <w:pPr>
                              <w:spacing w:after="0"/>
                            </w:pPr>
                          </w:p>
                          <w:tbl>
                            <w:tblPr>
                              <w:tblStyle w:val="TableGrid"/>
                              <w:tblW w:w="0" w:type="auto"/>
                              <w:tblLook w:val="04A0" w:firstRow="1" w:lastRow="0" w:firstColumn="1" w:lastColumn="0" w:noHBand="0" w:noVBand="1"/>
                            </w:tblPr>
                            <w:tblGrid>
                              <w:gridCol w:w="1811"/>
                              <w:gridCol w:w="2021"/>
                            </w:tblGrid>
                            <w:tr w:rsidR="009F24DA" w:rsidRPr="00283ADD" w:rsidTr="009816C3">
                              <w:trPr>
                                <w:trHeight w:val="881"/>
                              </w:trPr>
                              <w:tc>
                                <w:tcPr>
                                  <w:tcW w:w="1811" w:type="dxa"/>
                                </w:tcPr>
                                <w:p w:rsidR="009F24DA" w:rsidRDefault="009F24DA" w:rsidP="009816C3">
                                  <w:r>
                                    <w:t xml:space="preserve">‘14-’15 Headcount </w:t>
                                  </w:r>
                                </w:p>
                                <w:p w:rsidR="009F24DA" w:rsidRPr="00283ADD" w:rsidRDefault="009F24DA" w:rsidP="009816C3">
                                  <w:r>
                                    <w:t xml:space="preserve">(all students) </w:t>
                                  </w:r>
                                </w:p>
                              </w:tc>
                              <w:tc>
                                <w:tcPr>
                                  <w:tcW w:w="2021" w:type="dxa"/>
                                </w:tcPr>
                                <w:p w:rsidR="009F24DA" w:rsidRPr="00283ADD" w:rsidRDefault="009F24DA" w:rsidP="009816C3">
                                  <w:r w:rsidRPr="00757747">
                                    <w:t>Students Registered for Developmental Education  Courses</w:t>
                                  </w:r>
                                </w:p>
                              </w:tc>
                            </w:tr>
                            <w:tr w:rsidR="009F24DA" w:rsidRPr="00283ADD" w:rsidTr="009816C3">
                              <w:trPr>
                                <w:trHeight w:val="649"/>
                              </w:trPr>
                              <w:tc>
                                <w:tcPr>
                                  <w:tcW w:w="1811" w:type="dxa"/>
                                </w:tcPr>
                                <w:p w:rsidR="009F24DA" w:rsidRPr="00283ADD" w:rsidRDefault="009F24DA" w:rsidP="00833687">
                                  <w:pPr>
                                    <w:jc w:val="center"/>
                                  </w:pPr>
                                </w:p>
                                <w:p w:rsidR="009F24DA" w:rsidRPr="00283ADD" w:rsidRDefault="009F24DA" w:rsidP="00833687">
                                  <w:pPr>
                                    <w:jc w:val="center"/>
                                  </w:pPr>
                                  <w:r>
                                    <w:t>126,963</w:t>
                                  </w:r>
                                </w:p>
                              </w:tc>
                              <w:tc>
                                <w:tcPr>
                                  <w:tcW w:w="2021" w:type="dxa"/>
                                </w:tcPr>
                                <w:p w:rsidR="009F24DA" w:rsidRPr="00283ADD" w:rsidRDefault="009F24DA" w:rsidP="00833687">
                                  <w:pPr>
                                    <w:jc w:val="center"/>
                                  </w:pPr>
                                </w:p>
                                <w:p w:rsidR="009F24DA" w:rsidRPr="00283ADD" w:rsidRDefault="009F24DA" w:rsidP="00833687">
                                  <w:pPr>
                                    <w:jc w:val="center"/>
                                  </w:pPr>
                                  <w:r>
                                    <w:t>24,370 (19.2%)</w:t>
                                  </w:r>
                                </w:p>
                              </w:tc>
                            </w:tr>
                          </w:tbl>
                          <w:p w:rsidR="009F24DA" w:rsidRPr="00332AE2" w:rsidRDefault="009F24DA" w:rsidP="009816C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4pt;margin-top:10pt;width:253.55pt;height:1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" filled="f" stroked="f">
                <v:textbox>
                  <w:txbxContent>
                    <w:p w:rsidR="009F24DA" w:rsidRDefault="009F24DA" w:rsidP="009816C3">
                      <w:pPr>
                        <w:spacing w:after="0"/>
                        <w:ind w:left="-180"/>
                      </w:pPr>
                      <w:r>
                        <w:rPr>
                          <w:b/>
                        </w:rPr>
                        <w:t xml:space="preserve">Table 3. </w:t>
                      </w:r>
                      <w:r w:rsidRPr="00116818">
                        <w:rPr>
                          <w:b/>
                        </w:rPr>
                        <w:t xml:space="preserve">Academic Year 2014-2015 Headcount Compared </w:t>
                      </w:r>
                      <w:r>
                        <w:rPr>
                          <w:b/>
                        </w:rPr>
                        <w:t>to Developmental</w:t>
                      </w:r>
                      <w:r w:rsidRPr="00116818">
                        <w:rPr>
                          <w:b/>
                        </w:rPr>
                        <w:t xml:space="preserve"> Education Registration</w:t>
                      </w:r>
                      <w:r w:rsidRPr="00757747">
                        <w:rPr>
                          <w:b/>
                        </w:rPr>
                        <w:t>.</w:t>
                      </w:r>
                    </w:p>
                    <w:p w:rsidR="009F24DA" w:rsidRDefault="009F24DA" w:rsidP="009816C3">
                      <w:pPr>
                        <w:spacing w:after="0"/>
                      </w:pPr>
                    </w:p>
                    <w:tbl>
                      <w:tblPr>
                        <w:tblStyle w:val="TableGrid"/>
                        <w:tblW w:w="0" w:type="auto"/>
                        <w:tblLook w:val="04A0" w:firstRow="1" w:lastRow="0" w:firstColumn="1" w:lastColumn="0" w:noHBand="0" w:noVBand="1"/>
                      </w:tblPr>
                      <w:tblGrid>
                        <w:gridCol w:w="1811"/>
                        <w:gridCol w:w="2021"/>
                      </w:tblGrid>
                      <w:tr w:rsidR="009F24DA" w:rsidRPr="00283ADD" w:rsidTr="009816C3">
                        <w:trPr>
                          <w:trHeight w:val="881"/>
                        </w:trPr>
                        <w:tc>
                          <w:tcPr>
                            <w:tcW w:w="1811" w:type="dxa"/>
                          </w:tcPr>
                          <w:p w:rsidR="009F24DA" w:rsidRDefault="009F24DA" w:rsidP="009816C3">
                            <w:r>
                              <w:t xml:space="preserve">‘14-’15 Headcount </w:t>
                            </w:r>
                          </w:p>
                          <w:p w:rsidR="009F24DA" w:rsidRPr="00283ADD" w:rsidRDefault="009F24DA" w:rsidP="009816C3">
                            <w:r>
                              <w:t xml:space="preserve">(all students) </w:t>
                            </w:r>
                          </w:p>
                        </w:tc>
                        <w:tc>
                          <w:tcPr>
                            <w:tcW w:w="2021" w:type="dxa"/>
                          </w:tcPr>
                          <w:p w:rsidR="009F24DA" w:rsidRPr="00283ADD" w:rsidRDefault="009F24DA" w:rsidP="009816C3">
                            <w:r w:rsidRPr="00757747">
                              <w:t>Students Registered for Developmental Education  Courses</w:t>
                            </w:r>
                          </w:p>
                        </w:tc>
                      </w:tr>
                      <w:tr w:rsidR="009F24DA" w:rsidRPr="00283ADD" w:rsidTr="009816C3">
                        <w:trPr>
                          <w:trHeight w:val="649"/>
                        </w:trPr>
                        <w:tc>
                          <w:tcPr>
                            <w:tcW w:w="1811" w:type="dxa"/>
                          </w:tcPr>
                          <w:p w:rsidR="009F24DA" w:rsidRPr="00283ADD" w:rsidRDefault="009F24DA" w:rsidP="00833687">
                            <w:pPr>
                              <w:jc w:val="center"/>
                            </w:pPr>
                          </w:p>
                          <w:p w:rsidR="009F24DA" w:rsidRPr="00283ADD" w:rsidRDefault="009F24DA" w:rsidP="00833687">
                            <w:pPr>
                              <w:jc w:val="center"/>
                            </w:pPr>
                            <w:r>
                              <w:t>126,963</w:t>
                            </w:r>
                          </w:p>
                        </w:tc>
                        <w:tc>
                          <w:tcPr>
                            <w:tcW w:w="2021" w:type="dxa"/>
                          </w:tcPr>
                          <w:p w:rsidR="009F24DA" w:rsidRPr="00283ADD" w:rsidRDefault="009F24DA" w:rsidP="00833687">
                            <w:pPr>
                              <w:jc w:val="center"/>
                            </w:pPr>
                          </w:p>
                          <w:p w:rsidR="009F24DA" w:rsidRPr="00283ADD" w:rsidRDefault="009F24DA" w:rsidP="00833687">
                            <w:pPr>
                              <w:jc w:val="center"/>
                            </w:pPr>
                            <w:r>
                              <w:t>24,370 (19.2%)</w:t>
                            </w:r>
                          </w:p>
                        </w:tc>
                      </w:tr>
                    </w:tbl>
                    <w:p w:rsidR="009F24DA" w:rsidRPr="00332AE2" w:rsidRDefault="009F24DA" w:rsidP="009816C3">
                      <w:pPr>
                        <w:rPr>
                          <w:b/>
                        </w:rPr>
                      </w:pPr>
                    </w:p>
                  </w:txbxContent>
                </v:textbox>
              </v:shape>
            </w:pict>
          </mc:Fallback>
        </mc:AlternateContent>
      </w:r>
    </w:p>
    <w:p w:rsidR="00B96F39" w:rsidRPr="00396A58" w:rsidRDefault="0059787C" w:rsidP="00AE4774">
      <w:pPr>
        <w:spacing w:after="0"/>
        <w:rPr>
          <w:b/>
        </w:rPr>
      </w:pPr>
      <w:r w:rsidRPr="00396A58">
        <w:rPr>
          <w:b/>
        </w:rPr>
        <w:t>Table 2</w:t>
      </w:r>
      <w:r w:rsidR="00A535A3" w:rsidRPr="00396A58">
        <w:rPr>
          <w:b/>
        </w:rPr>
        <w:t xml:space="preserve">. </w:t>
      </w:r>
      <w:r w:rsidR="00D00440" w:rsidRPr="00396A58">
        <w:rPr>
          <w:b/>
        </w:rPr>
        <w:t xml:space="preserve">Academic Year </w:t>
      </w:r>
      <w:r w:rsidR="00A535A3" w:rsidRPr="00396A58">
        <w:rPr>
          <w:b/>
        </w:rPr>
        <w:t>2008-</w:t>
      </w:r>
      <w:r w:rsidR="00426793" w:rsidRPr="00396A58">
        <w:rPr>
          <w:b/>
        </w:rPr>
        <w:t>20</w:t>
      </w:r>
      <w:r w:rsidR="00A535A3" w:rsidRPr="00396A58">
        <w:rPr>
          <w:b/>
        </w:rPr>
        <w:t xml:space="preserve">09 </w:t>
      </w:r>
      <w:r w:rsidR="00B96F39" w:rsidRPr="00396A58">
        <w:rPr>
          <w:b/>
        </w:rPr>
        <w:t xml:space="preserve">Headcount </w:t>
      </w:r>
    </w:p>
    <w:p w:rsidR="005C5F1F" w:rsidRPr="00396A58" w:rsidRDefault="00B96F39" w:rsidP="00AE4774">
      <w:pPr>
        <w:spacing w:after="0"/>
        <w:rPr>
          <w:b/>
        </w:rPr>
      </w:pPr>
      <w:r w:rsidRPr="00396A58">
        <w:rPr>
          <w:b/>
        </w:rPr>
        <w:t>Compared to Dev</w:t>
      </w:r>
      <w:r w:rsidR="00116818" w:rsidRPr="00396A58">
        <w:rPr>
          <w:b/>
        </w:rPr>
        <w:t xml:space="preserve">elopmental Education </w:t>
      </w:r>
      <w:r w:rsidRPr="00396A58">
        <w:rPr>
          <w:b/>
        </w:rPr>
        <w:t>Registration</w:t>
      </w:r>
      <w:r w:rsidR="00F24C7B" w:rsidRPr="00396A58">
        <w:rPr>
          <w:b/>
        </w:rPr>
        <w:t>.</w:t>
      </w:r>
    </w:p>
    <w:p w:rsidR="009816C3" w:rsidRPr="00396A58" w:rsidRDefault="009816C3" w:rsidP="00AE4774">
      <w:pPr>
        <w:spacing w:after="0"/>
        <w:rPr>
          <w:b/>
        </w:rPr>
      </w:pPr>
    </w:p>
    <w:tbl>
      <w:tblPr>
        <w:tblStyle w:val="TableGrid"/>
        <w:tblW w:w="0" w:type="auto"/>
        <w:tblInd w:w="198" w:type="dxa"/>
        <w:tblLook w:val="04A0" w:firstRow="1" w:lastRow="0" w:firstColumn="1" w:lastColumn="0" w:noHBand="0" w:noVBand="1"/>
      </w:tblPr>
      <w:tblGrid>
        <w:gridCol w:w="1811"/>
        <w:gridCol w:w="2021"/>
      </w:tblGrid>
      <w:tr w:rsidR="00897306" w:rsidRPr="00396A58" w:rsidTr="00E668CC">
        <w:trPr>
          <w:trHeight w:val="881"/>
        </w:trPr>
        <w:tc>
          <w:tcPr>
            <w:tcW w:w="1811" w:type="dxa"/>
          </w:tcPr>
          <w:p w:rsidR="00777DDF" w:rsidRPr="00396A58" w:rsidRDefault="00777DDF" w:rsidP="00BC17F9">
            <w:r w:rsidRPr="00396A58">
              <w:t>‘</w:t>
            </w:r>
            <w:r w:rsidR="00963082" w:rsidRPr="00396A58">
              <w:t>08-</w:t>
            </w:r>
            <w:r w:rsidRPr="00396A58">
              <w:t>‘</w:t>
            </w:r>
            <w:r w:rsidR="00963082" w:rsidRPr="00396A58">
              <w:t xml:space="preserve">09 </w:t>
            </w:r>
            <w:r w:rsidR="00B96F39" w:rsidRPr="00396A58">
              <w:t>Headcount</w:t>
            </w:r>
            <w:r w:rsidRPr="00396A58">
              <w:t xml:space="preserve"> </w:t>
            </w:r>
          </w:p>
          <w:p w:rsidR="00897306" w:rsidRPr="00396A58" w:rsidRDefault="00777DDF" w:rsidP="00BC17F9">
            <w:r w:rsidRPr="00396A58">
              <w:t>(all students)</w:t>
            </w:r>
            <w:r w:rsidR="00332AE2" w:rsidRPr="00396A58">
              <w:t xml:space="preserve"> </w:t>
            </w:r>
          </w:p>
        </w:tc>
        <w:tc>
          <w:tcPr>
            <w:tcW w:w="2021" w:type="dxa"/>
          </w:tcPr>
          <w:p w:rsidR="00897306" w:rsidRPr="00396A58" w:rsidRDefault="00897306" w:rsidP="00B96F39">
            <w:r w:rsidRPr="00396A58">
              <w:t xml:space="preserve">Students </w:t>
            </w:r>
            <w:r w:rsidR="00B96F39" w:rsidRPr="00396A58">
              <w:t>Registered for</w:t>
            </w:r>
            <w:r w:rsidRPr="00396A58">
              <w:t xml:space="preserve"> </w:t>
            </w:r>
            <w:r w:rsidR="00116818" w:rsidRPr="00396A58">
              <w:t xml:space="preserve">Developmental Education </w:t>
            </w:r>
            <w:r w:rsidRPr="00396A58">
              <w:t xml:space="preserve"> Courses</w:t>
            </w:r>
            <w:r w:rsidR="00AE4774" w:rsidRPr="00396A58">
              <w:t xml:space="preserve"> </w:t>
            </w:r>
          </w:p>
        </w:tc>
      </w:tr>
      <w:tr w:rsidR="00897306" w:rsidRPr="00396A58" w:rsidTr="00E668CC">
        <w:trPr>
          <w:trHeight w:val="649"/>
        </w:trPr>
        <w:tc>
          <w:tcPr>
            <w:tcW w:w="1811" w:type="dxa"/>
          </w:tcPr>
          <w:p w:rsidR="00897306" w:rsidRPr="00396A58" w:rsidRDefault="00897306" w:rsidP="00833687">
            <w:pPr>
              <w:jc w:val="center"/>
            </w:pPr>
          </w:p>
          <w:p w:rsidR="00897306" w:rsidRPr="00396A58" w:rsidRDefault="00426793" w:rsidP="00833687">
            <w:pPr>
              <w:jc w:val="center"/>
            </w:pPr>
            <w:r w:rsidRPr="00396A58">
              <w:t>117,245</w:t>
            </w:r>
          </w:p>
        </w:tc>
        <w:tc>
          <w:tcPr>
            <w:tcW w:w="2021" w:type="dxa"/>
          </w:tcPr>
          <w:p w:rsidR="00897306" w:rsidRPr="00396A58" w:rsidRDefault="00897306" w:rsidP="00833687">
            <w:pPr>
              <w:jc w:val="center"/>
            </w:pPr>
          </w:p>
          <w:p w:rsidR="00897306" w:rsidRPr="00396A58" w:rsidRDefault="00B96F39" w:rsidP="00833687">
            <w:pPr>
              <w:jc w:val="center"/>
            </w:pPr>
            <w:r w:rsidRPr="00396A58">
              <w:t>24,729 (</w:t>
            </w:r>
            <w:r w:rsidR="009816C3" w:rsidRPr="00396A58">
              <w:t>21.1%)</w:t>
            </w:r>
          </w:p>
        </w:tc>
      </w:tr>
    </w:tbl>
    <w:p w:rsidR="0065723A" w:rsidRPr="00396A58" w:rsidRDefault="0065723A" w:rsidP="00CE6968">
      <w:pPr>
        <w:spacing w:after="0"/>
      </w:pPr>
    </w:p>
    <w:p w:rsidR="008F730E" w:rsidRPr="00396A58" w:rsidRDefault="008F730E">
      <w:pPr>
        <w:rPr>
          <w:b/>
        </w:rPr>
      </w:pPr>
      <w:r w:rsidRPr="00396A58">
        <w:rPr>
          <w:b/>
        </w:rPr>
        <w:br w:type="page"/>
      </w:r>
    </w:p>
    <w:p w:rsidR="009816C3" w:rsidRPr="00396A58" w:rsidRDefault="005E40F2" w:rsidP="00A8632E">
      <w:pPr>
        <w:rPr>
          <w:b/>
        </w:rPr>
      </w:pPr>
      <w:r w:rsidRPr="00396A58">
        <w:rPr>
          <w:b/>
        </w:rPr>
        <w:lastRenderedPageBreak/>
        <w:t xml:space="preserve">Table </w:t>
      </w:r>
      <w:r w:rsidR="0059787C" w:rsidRPr="00396A58">
        <w:rPr>
          <w:b/>
        </w:rPr>
        <w:t>4</w:t>
      </w:r>
      <w:r w:rsidRPr="00396A58">
        <w:t xml:space="preserve"> and </w:t>
      </w:r>
      <w:r w:rsidRPr="00396A58">
        <w:rPr>
          <w:b/>
        </w:rPr>
        <w:t xml:space="preserve">Table </w:t>
      </w:r>
      <w:r w:rsidR="0059787C" w:rsidRPr="00396A58">
        <w:rPr>
          <w:b/>
        </w:rPr>
        <w:t>5</w:t>
      </w:r>
      <w:r w:rsidRPr="00396A58">
        <w:t xml:space="preserve"> show course registrations in developmental education courses for the 2008-2009 academic year and redesigned courses for the 2014-2015 academic year</w:t>
      </w:r>
      <w:r w:rsidR="00823F72" w:rsidRPr="00396A58">
        <w:t>s</w:t>
      </w:r>
      <w:r w:rsidRPr="00396A58">
        <w:t xml:space="preserve">, respectively. </w:t>
      </w:r>
      <w:r w:rsidR="008E19E4" w:rsidRPr="00396A58">
        <w:t>Since students may take</w:t>
      </w:r>
      <w:r w:rsidR="003A16E9" w:rsidRPr="00396A58">
        <w:t xml:space="preserve"> (or re-take)</w:t>
      </w:r>
      <w:r w:rsidR="008E19E4" w:rsidRPr="00396A58">
        <w:t xml:space="preserve"> more than one developmental course in an academic year</w:t>
      </w:r>
      <w:r w:rsidR="009F1202">
        <w:t>, Tables 4 and 5</w:t>
      </w:r>
      <w:r w:rsidR="008E19E4" w:rsidRPr="00396A58">
        <w:t xml:space="preserve"> count registrations</w:t>
      </w:r>
      <w:r w:rsidR="00E96F34" w:rsidRPr="00396A58">
        <w:t xml:space="preserve"> at the course level</w:t>
      </w:r>
      <w:r w:rsidR="008E19E4" w:rsidRPr="00396A58">
        <w:t xml:space="preserve"> rather than</w:t>
      </w:r>
      <w:r w:rsidR="009816C3" w:rsidRPr="00396A58">
        <w:t xml:space="preserve"> unique students. </w:t>
      </w:r>
      <w:r w:rsidR="002F7EA1" w:rsidRPr="00396A58">
        <w:t xml:space="preserve">Later tables in this report will </w:t>
      </w:r>
      <w:r w:rsidR="00823F72" w:rsidRPr="00396A58">
        <w:t xml:space="preserve">also </w:t>
      </w:r>
      <w:r w:rsidR="002F7EA1" w:rsidRPr="00396A58">
        <w:t>show unique student counts at the course level</w:t>
      </w:r>
      <w:r w:rsidR="00E50938">
        <w:t xml:space="preserve"> and in aggregate</w:t>
      </w:r>
      <w:r w:rsidR="002F7EA1" w:rsidRPr="00396A58">
        <w:t>.</w:t>
      </w:r>
      <w:r w:rsidR="00366625">
        <w:t xml:space="preserve"> </w:t>
      </w:r>
    </w:p>
    <w:p w:rsidR="00332AE2" w:rsidRPr="00396A58" w:rsidRDefault="00107E3A" w:rsidP="00332AE2">
      <w:r>
        <w:rPr>
          <w:b/>
          <w:noProof/>
        </w:rPr>
        <mc:AlternateContent>
          <mc:Choice Requires="wps">
            <w:drawing>
              <wp:anchor distT="0" distB="0" distL="114300" distR="114300" simplePos="0" relativeHeight="251663360" behindDoc="0" locked="0" layoutInCell="1" allowOverlap="1">
                <wp:simplePos x="0" y="0"/>
                <wp:positionH relativeFrom="column">
                  <wp:posOffset>3265170</wp:posOffset>
                </wp:positionH>
                <wp:positionV relativeFrom="paragraph">
                  <wp:posOffset>127000</wp:posOffset>
                </wp:positionV>
                <wp:extent cx="3200400" cy="6108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10870"/>
                        </a:xfrm>
                        <a:prstGeom prst="rect">
                          <a:avLst/>
                        </a:prstGeom>
                        <a:noFill/>
                        <a:ln w="9525">
                          <a:noFill/>
                          <a:miter lim="800000"/>
                          <a:headEnd/>
                          <a:tailEnd/>
                        </a:ln>
                      </wps:spPr>
                      <wps:txbx>
                        <w:txbxContent>
                          <w:p w:rsidR="009F24DA" w:rsidRPr="00CE6968" w:rsidRDefault="009F24DA">
                            <w:pPr>
                              <w:rPr>
                                <w:b/>
                              </w:rPr>
                            </w:pPr>
                            <w:r>
                              <w:rPr>
                                <w:b/>
                              </w:rPr>
                              <w:t>Table 5</w:t>
                            </w:r>
                            <w:r w:rsidRPr="00CE6968">
                              <w:rPr>
                                <w:b/>
                              </w:rPr>
                              <w:t xml:space="preserve">.  </w:t>
                            </w:r>
                            <w:r>
                              <w:rPr>
                                <w:b/>
                              </w:rPr>
                              <w:t>Registration</w:t>
                            </w:r>
                            <w:r w:rsidRPr="00CE6968">
                              <w:rPr>
                                <w:b/>
                              </w:rPr>
                              <w:t xml:space="preserve"> in Redesigned </w:t>
                            </w:r>
                            <w:r w:rsidRPr="00116818">
                              <w:rPr>
                                <w:b/>
                              </w:rPr>
                              <w:t xml:space="preserve">Developmental Education </w:t>
                            </w:r>
                            <w:r>
                              <w:rPr>
                                <w:b/>
                              </w:rPr>
                              <w:t>Courses 2014-2015.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7.1pt;margin-top:10pt;width:252pt;height:48.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" filled="f" stroked="f">
                <v:textbox style="mso-fit-shape-to-text:t">
                  <w:txbxContent>
                    <w:p w:rsidR="009F24DA" w:rsidRPr="00CE6968" w:rsidRDefault="009F24DA">
                      <w:pPr>
                        <w:rPr>
                          <w:b/>
                        </w:rPr>
                      </w:pPr>
                      <w:proofErr w:type="gramStart"/>
                      <w:r>
                        <w:rPr>
                          <w:b/>
                        </w:rPr>
                        <w:t>Table 5</w:t>
                      </w:r>
                      <w:r w:rsidRPr="00CE6968">
                        <w:rPr>
                          <w:b/>
                        </w:rPr>
                        <w:t>.</w:t>
                      </w:r>
                      <w:proofErr w:type="gramEnd"/>
                      <w:r w:rsidRPr="00CE6968">
                        <w:rPr>
                          <w:b/>
                        </w:rPr>
                        <w:t xml:space="preserve">  </w:t>
                      </w:r>
                      <w:r>
                        <w:rPr>
                          <w:b/>
                        </w:rPr>
                        <w:t>Registration</w:t>
                      </w:r>
                      <w:r w:rsidRPr="00CE6968">
                        <w:rPr>
                          <w:b/>
                        </w:rPr>
                        <w:t xml:space="preserve"> in Redesigned </w:t>
                      </w:r>
                      <w:r w:rsidRPr="00116818">
                        <w:rPr>
                          <w:b/>
                        </w:rPr>
                        <w:t xml:space="preserve">Developmental Education </w:t>
                      </w:r>
                      <w:r>
                        <w:rPr>
                          <w:b/>
                        </w:rPr>
                        <w:t>Courses 2014-2015.</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-116205</wp:posOffset>
                </wp:positionH>
                <wp:positionV relativeFrom="paragraph">
                  <wp:posOffset>127000</wp:posOffset>
                </wp:positionV>
                <wp:extent cx="3162300" cy="482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82600"/>
                        </a:xfrm>
                        <a:prstGeom prst="rect">
                          <a:avLst/>
                        </a:prstGeom>
                        <a:noFill/>
                        <a:ln w="9525">
                          <a:noFill/>
                          <a:miter lim="800000"/>
                          <a:headEnd/>
                          <a:tailEnd/>
                        </a:ln>
                      </wps:spPr>
                      <wps:txbx>
                        <w:txbxContent>
                          <w:p w:rsidR="009F24DA" w:rsidRPr="00332AE2" w:rsidRDefault="009F24DA">
                            <w:pPr>
                              <w:rPr>
                                <w:b/>
                              </w:rPr>
                            </w:pPr>
                            <w:r>
                              <w:rPr>
                                <w:b/>
                              </w:rPr>
                              <w:t xml:space="preserve">Table 4. Registration in </w:t>
                            </w:r>
                            <w:r w:rsidRPr="00116818">
                              <w:rPr>
                                <w:b/>
                              </w:rPr>
                              <w:t xml:space="preserve">Developmental Education </w:t>
                            </w:r>
                            <w:r>
                              <w:rPr>
                                <w:b/>
                              </w:rPr>
                              <w:t>Courses 2008-20</w:t>
                            </w:r>
                            <w:r w:rsidRPr="00332AE2">
                              <w:rPr>
                                <w:b/>
                              </w:rPr>
                              <w:t>09</w:t>
                            </w:r>
                            <w:r>
                              <w:rPr>
                                <w:b/>
                              </w:rPr>
                              <w:t>.</w:t>
                            </w:r>
                          </w:p>
                          <w:p w:rsidR="009F24DA" w:rsidRDefault="009F24DA"/>
                          <w:p w:rsidR="009F24DA" w:rsidRPr="00332AE2" w:rsidRDefault="009F24DA">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15pt;margin-top:10pt;width:249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" filled="f" stroked="f">
                <v:textbox>
                  <w:txbxContent>
                    <w:p w:rsidR="009F24DA" w:rsidRPr="00332AE2" w:rsidRDefault="009F24DA">
                      <w:pPr>
                        <w:rPr>
                          <w:b/>
                        </w:rPr>
                      </w:pPr>
                      <w:proofErr w:type="gramStart"/>
                      <w:r>
                        <w:rPr>
                          <w:b/>
                        </w:rPr>
                        <w:t>Table 4.</w:t>
                      </w:r>
                      <w:proofErr w:type="gramEnd"/>
                      <w:r>
                        <w:rPr>
                          <w:b/>
                        </w:rPr>
                        <w:t xml:space="preserve"> Registration in </w:t>
                      </w:r>
                      <w:r w:rsidRPr="00116818">
                        <w:rPr>
                          <w:b/>
                        </w:rPr>
                        <w:t xml:space="preserve">Developmental Education </w:t>
                      </w:r>
                      <w:r>
                        <w:rPr>
                          <w:b/>
                        </w:rPr>
                        <w:t>Courses 2008-20</w:t>
                      </w:r>
                      <w:r w:rsidRPr="00332AE2">
                        <w:rPr>
                          <w:b/>
                        </w:rPr>
                        <w:t>09</w:t>
                      </w:r>
                      <w:r>
                        <w:rPr>
                          <w:b/>
                        </w:rPr>
                        <w:t>.</w:t>
                      </w:r>
                    </w:p>
                    <w:p w:rsidR="009F24DA" w:rsidRDefault="009F24DA"/>
                    <w:p w:rsidR="009F24DA" w:rsidRPr="00332AE2" w:rsidRDefault="009F24DA">
                      <w:pPr>
                        <w:rPr>
                          <w:b/>
                        </w:rPr>
                      </w:pPr>
                      <w:r>
                        <w:rPr>
                          <w:b/>
                        </w:rPr>
                        <w:t xml:space="preserve"> </w:t>
                      </w:r>
                    </w:p>
                  </w:txbxContent>
                </v:textbox>
              </v:shape>
            </w:pict>
          </mc:Fallback>
        </mc:AlternateContent>
      </w:r>
    </w:p>
    <w:tbl>
      <w:tblPr>
        <w:tblpPr w:leftFromText="180" w:rightFromText="180" w:vertAnchor="text" w:horzAnchor="margin" w:tblpY="565"/>
        <w:tblW w:w="2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6"/>
        <w:gridCol w:w="1516"/>
      </w:tblGrid>
      <w:tr w:rsidR="00E007A0" w:rsidRPr="00396A58" w:rsidTr="00E007A0">
        <w:trPr>
          <w:cantSplit/>
          <w:trHeight w:val="311"/>
        </w:trPr>
        <w:tc>
          <w:tcPr>
            <w:tcW w:w="1316" w:type="dxa"/>
            <w:tcBorders>
              <w:top w:val="single" w:sz="8" w:space="0" w:color="auto"/>
              <w:left w:val="single" w:sz="8" w:space="0" w:color="auto"/>
              <w:bottom w:val="single" w:sz="8" w:space="0" w:color="auto"/>
              <w:right w:val="single" w:sz="8" w:space="0" w:color="auto"/>
            </w:tcBorders>
            <w:shd w:val="clear" w:color="auto" w:fill="FFFFFF"/>
          </w:tcPr>
          <w:p w:rsidR="00E007A0" w:rsidRPr="00396A58" w:rsidRDefault="00E007A0" w:rsidP="004D0AB5">
            <w:pPr>
              <w:spacing w:after="0"/>
              <w:ind w:left="100"/>
              <w:rPr>
                <w:b/>
              </w:rPr>
            </w:pPr>
            <w:r w:rsidRPr="00396A58">
              <w:rPr>
                <w:b/>
              </w:rPr>
              <w:t>Course</w:t>
            </w:r>
          </w:p>
        </w:tc>
        <w:tc>
          <w:tcPr>
            <w:tcW w:w="1516" w:type="dxa"/>
            <w:tcBorders>
              <w:top w:val="single" w:sz="8" w:space="0" w:color="auto"/>
              <w:left w:val="single" w:sz="8" w:space="0" w:color="auto"/>
              <w:bottom w:val="single" w:sz="8" w:space="0" w:color="auto"/>
              <w:right w:val="single" w:sz="8" w:space="0" w:color="auto"/>
            </w:tcBorders>
            <w:shd w:val="clear" w:color="auto" w:fill="FFFFFF"/>
          </w:tcPr>
          <w:p w:rsidR="00E007A0" w:rsidRPr="00396A58" w:rsidRDefault="00E007A0" w:rsidP="004D0AB5">
            <w:pPr>
              <w:spacing w:after="0"/>
              <w:ind w:left="134"/>
              <w:rPr>
                <w:b/>
              </w:rPr>
            </w:pPr>
            <w:r w:rsidRPr="00396A58">
              <w:rPr>
                <w:b/>
              </w:rPr>
              <w:t>Registration Count</w:t>
            </w:r>
          </w:p>
        </w:tc>
      </w:tr>
      <w:tr w:rsidR="00E007A0" w:rsidRPr="00396A58" w:rsidTr="00E007A0">
        <w:trPr>
          <w:cantSplit/>
          <w:trHeight w:val="311"/>
        </w:trPr>
        <w:tc>
          <w:tcPr>
            <w:tcW w:w="1316" w:type="dxa"/>
            <w:tcBorders>
              <w:top w:val="single" w:sz="8" w:space="0" w:color="auto"/>
              <w:left w:val="single" w:sz="8" w:space="0" w:color="auto"/>
              <w:bottom w:val="single" w:sz="8" w:space="0" w:color="auto"/>
              <w:right w:val="single" w:sz="8" w:space="0" w:color="auto"/>
            </w:tcBorders>
            <w:shd w:val="clear" w:color="auto" w:fill="FFFFFF"/>
          </w:tcPr>
          <w:p w:rsidR="00E007A0" w:rsidRPr="00396A58" w:rsidRDefault="00E007A0" w:rsidP="004D0AB5">
            <w:pPr>
              <w:spacing w:after="0"/>
              <w:ind w:left="100"/>
              <w:rPr>
                <w:b/>
                <w:color w:val="000000"/>
              </w:rPr>
            </w:pPr>
            <w:r w:rsidRPr="00396A58">
              <w:rPr>
                <w:b/>
              </w:rPr>
              <w:t>ENG 030</w:t>
            </w:r>
          </w:p>
        </w:tc>
        <w:tc>
          <w:tcPr>
            <w:tcW w:w="1516" w:type="dxa"/>
            <w:tcBorders>
              <w:top w:val="single" w:sz="8" w:space="0" w:color="auto"/>
              <w:left w:val="single" w:sz="8" w:space="0" w:color="auto"/>
              <w:bottom w:val="single" w:sz="4" w:space="0" w:color="auto"/>
              <w:right w:val="single" w:sz="4" w:space="0" w:color="auto"/>
            </w:tcBorders>
            <w:shd w:val="clear" w:color="auto" w:fill="FFFFFF"/>
          </w:tcPr>
          <w:p w:rsidR="00E007A0" w:rsidRPr="00396A58" w:rsidRDefault="00E007A0" w:rsidP="004D0AB5">
            <w:pPr>
              <w:spacing w:after="0"/>
              <w:ind w:left="134"/>
              <w:rPr>
                <w:color w:val="000000"/>
              </w:rPr>
            </w:pPr>
            <w:r w:rsidRPr="00396A58">
              <w:rPr>
                <w:rFonts w:ascii="Calibri" w:hAnsi="Calibri"/>
                <w:color w:val="000000"/>
              </w:rPr>
              <w:t>691</w:t>
            </w:r>
          </w:p>
        </w:tc>
      </w:tr>
      <w:tr w:rsidR="00E007A0" w:rsidRPr="00396A58" w:rsidTr="00E007A0">
        <w:trPr>
          <w:cantSplit/>
          <w:trHeight w:val="311"/>
        </w:trPr>
        <w:tc>
          <w:tcPr>
            <w:tcW w:w="1316" w:type="dxa"/>
            <w:tcBorders>
              <w:top w:val="single" w:sz="8" w:space="0" w:color="auto"/>
              <w:left w:val="single" w:sz="8" w:space="0" w:color="auto"/>
              <w:bottom w:val="single" w:sz="8" w:space="0" w:color="auto"/>
              <w:right w:val="single" w:sz="8" w:space="0" w:color="auto"/>
            </w:tcBorders>
            <w:shd w:val="clear" w:color="auto" w:fill="FFFFFF"/>
          </w:tcPr>
          <w:p w:rsidR="00E007A0" w:rsidRPr="00396A58" w:rsidRDefault="00E007A0" w:rsidP="004D0AB5">
            <w:pPr>
              <w:spacing w:after="0"/>
              <w:ind w:left="100"/>
              <w:rPr>
                <w:b/>
                <w:color w:val="000000"/>
              </w:rPr>
            </w:pPr>
            <w:r w:rsidRPr="00396A58">
              <w:rPr>
                <w:b/>
              </w:rPr>
              <w:t>ENG 060</w:t>
            </w:r>
          </w:p>
        </w:tc>
        <w:tc>
          <w:tcPr>
            <w:tcW w:w="1516" w:type="dxa"/>
            <w:tcBorders>
              <w:top w:val="single" w:sz="4" w:space="0" w:color="auto"/>
              <w:left w:val="single" w:sz="8" w:space="0" w:color="auto"/>
              <w:bottom w:val="single" w:sz="4" w:space="0" w:color="auto"/>
              <w:right w:val="single" w:sz="4" w:space="0" w:color="auto"/>
            </w:tcBorders>
            <w:shd w:val="clear" w:color="auto" w:fill="FFFFFF"/>
          </w:tcPr>
          <w:p w:rsidR="00E007A0" w:rsidRPr="00396A58" w:rsidRDefault="00E007A0" w:rsidP="004D0AB5">
            <w:pPr>
              <w:spacing w:after="0"/>
              <w:ind w:left="134"/>
              <w:rPr>
                <w:color w:val="000000"/>
              </w:rPr>
            </w:pPr>
            <w:r w:rsidRPr="00396A58">
              <w:rPr>
                <w:rFonts w:ascii="Calibri" w:hAnsi="Calibri"/>
                <w:color w:val="000000"/>
              </w:rPr>
              <w:t>3,073</w:t>
            </w:r>
          </w:p>
        </w:tc>
      </w:tr>
      <w:tr w:rsidR="00E007A0" w:rsidRPr="00396A58" w:rsidTr="00E007A0">
        <w:trPr>
          <w:cantSplit/>
          <w:trHeight w:val="311"/>
        </w:trPr>
        <w:tc>
          <w:tcPr>
            <w:tcW w:w="1316" w:type="dxa"/>
            <w:tcBorders>
              <w:top w:val="single" w:sz="8" w:space="0" w:color="auto"/>
              <w:left w:val="single" w:sz="8" w:space="0" w:color="auto"/>
              <w:bottom w:val="single" w:sz="8" w:space="0" w:color="auto"/>
              <w:right w:val="single" w:sz="8" w:space="0" w:color="auto"/>
            </w:tcBorders>
            <w:shd w:val="clear" w:color="auto" w:fill="FFFFFF"/>
          </w:tcPr>
          <w:p w:rsidR="00E007A0" w:rsidRPr="00396A58" w:rsidRDefault="00E007A0" w:rsidP="004D0AB5">
            <w:pPr>
              <w:spacing w:after="0"/>
              <w:ind w:left="100"/>
              <w:rPr>
                <w:b/>
                <w:color w:val="000000"/>
              </w:rPr>
            </w:pPr>
            <w:r w:rsidRPr="00396A58">
              <w:rPr>
                <w:b/>
              </w:rPr>
              <w:t>ENG 090</w:t>
            </w:r>
          </w:p>
        </w:tc>
        <w:tc>
          <w:tcPr>
            <w:tcW w:w="1516" w:type="dxa"/>
            <w:tcBorders>
              <w:top w:val="single" w:sz="4" w:space="0" w:color="auto"/>
              <w:left w:val="single" w:sz="8" w:space="0" w:color="auto"/>
              <w:bottom w:val="single" w:sz="4" w:space="0" w:color="auto"/>
              <w:right w:val="single" w:sz="4" w:space="0" w:color="auto"/>
            </w:tcBorders>
            <w:shd w:val="clear" w:color="auto" w:fill="FFFFFF"/>
          </w:tcPr>
          <w:p w:rsidR="00E007A0" w:rsidRPr="00396A58" w:rsidRDefault="00E007A0" w:rsidP="003A16E9">
            <w:pPr>
              <w:spacing w:after="0"/>
              <w:ind w:left="134"/>
              <w:rPr>
                <w:color w:val="000000"/>
              </w:rPr>
            </w:pPr>
            <w:r w:rsidRPr="00396A58">
              <w:rPr>
                <w:rFonts w:ascii="Calibri" w:hAnsi="Calibri"/>
                <w:color w:val="000000"/>
              </w:rPr>
              <w:t>9,764</w:t>
            </w:r>
          </w:p>
        </w:tc>
      </w:tr>
      <w:tr w:rsidR="00E007A0" w:rsidRPr="00396A58" w:rsidTr="00E007A0">
        <w:trPr>
          <w:cantSplit/>
          <w:trHeight w:val="311"/>
        </w:trPr>
        <w:tc>
          <w:tcPr>
            <w:tcW w:w="1316" w:type="dxa"/>
            <w:tcBorders>
              <w:top w:val="single" w:sz="8" w:space="0" w:color="auto"/>
              <w:left w:val="single" w:sz="8" w:space="0" w:color="auto"/>
              <w:bottom w:val="single" w:sz="8" w:space="0" w:color="auto"/>
              <w:right w:val="single" w:sz="8" w:space="0" w:color="auto"/>
            </w:tcBorders>
            <w:shd w:val="clear" w:color="auto" w:fill="FFFFFF"/>
          </w:tcPr>
          <w:p w:rsidR="00E007A0" w:rsidRPr="00396A58" w:rsidRDefault="00E007A0" w:rsidP="004D0AB5">
            <w:pPr>
              <w:spacing w:after="0"/>
              <w:ind w:left="100"/>
              <w:rPr>
                <w:b/>
                <w:color w:val="000000"/>
              </w:rPr>
            </w:pPr>
            <w:r w:rsidRPr="00396A58">
              <w:rPr>
                <w:b/>
              </w:rPr>
              <w:t>REA 030</w:t>
            </w:r>
          </w:p>
        </w:tc>
        <w:tc>
          <w:tcPr>
            <w:tcW w:w="1516" w:type="dxa"/>
            <w:tcBorders>
              <w:top w:val="single" w:sz="4" w:space="0" w:color="auto"/>
              <w:left w:val="single" w:sz="8" w:space="0" w:color="auto"/>
              <w:bottom w:val="single" w:sz="4" w:space="0" w:color="auto"/>
              <w:right w:val="single" w:sz="4" w:space="0" w:color="auto"/>
            </w:tcBorders>
            <w:shd w:val="clear" w:color="auto" w:fill="FFFFFF"/>
          </w:tcPr>
          <w:p w:rsidR="00E007A0" w:rsidRPr="00396A58" w:rsidRDefault="00E007A0" w:rsidP="004D0AB5">
            <w:pPr>
              <w:spacing w:after="0"/>
              <w:ind w:left="134"/>
            </w:pPr>
            <w:r w:rsidRPr="00396A58">
              <w:rPr>
                <w:rFonts w:ascii="Calibri" w:hAnsi="Calibri"/>
                <w:color w:val="000000"/>
              </w:rPr>
              <w:t>662</w:t>
            </w:r>
          </w:p>
        </w:tc>
      </w:tr>
      <w:tr w:rsidR="00E007A0" w:rsidRPr="00396A58" w:rsidTr="00E007A0">
        <w:trPr>
          <w:cantSplit/>
          <w:trHeight w:val="142"/>
        </w:trPr>
        <w:tc>
          <w:tcPr>
            <w:tcW w:w="1316" w:type="dxa"/>
            <w:tcBorders>
              <w:top w:val="single" w:sz="8" w:space="0" w:color="auto"/>
              <w:left w:val="single" w:sz="8" w:space="0" w:color="auto"/>
              <w:bottom w:val="single" w:sz="8" w:space="0" w:color="auto"/>
              <w:right w:val="single" w:sz="8" w:space="0" w:color="auto"/>
            </w:tcBorders>
            <w:shd w:val="clear" w:color="auto" w:fill="FFFFFF"/>
          </w:tcPr>
          <w:p w:rsidR="00E007A0" w:rsidRPr="00396A58" w:rsidRDefault="00E007A0" w:rsidP="004D0AB5">
            <w:pPr>
              <w:spacing w:after="0"/>
              <w:ind w:left="100"/>
              <w:rPr>
                <w:b/>
                <w:color w:val="000000"/>
              </w:rPr>
            </w:pPr>
            <w:r w:rsidRPr="00396A58">
              <w:rPr>
                <w:b/>
              </w:rPr>
              <w:t>REA 060</w:t>
            </w:r>
          </w:p>
        </w:tc>
        <w:tc>
          <w:tcPr>
            <w:tcW w:w="1516" w:type="dxa"/>
            <w:tcBorders>
              <w:top w:val="single" w:sz="4" w:space="0" w:color="auto"/>
              <w:left w:val="single" w:sz="8" w:space="0" w:color="auto"/>
              <w:bottom w:val="single" w:sz="4" w:space="0" w:color="auto"/>
              <w:right w:val="single" w:sz="4" w:space="0" w:color="auto"/>
            </w:tcBorders>
            <w:shd w:val="clear" w:color="auto" w:fill="FFFFFF"/>
          </w:tcPr>
          <w:p w:rsidR="00E007A0" w:rsidRPr="00396A58" w:rsidRDefault="00E007A0" w:rsidP="003A16E9">
            <w:pPr>
              <w:spacing w:after="0"/>
              <w:ind w:left="134"/>
              <w:rPr>
                <w:color w:val="000000"/>
              </w:rPr>
            </w:pPr>
            <w:r w:rsidRPr="00396A58">
              <w:rPr>
                <w:rFonts w:ascii="Calibri" w:hAnsi="Calibri"/>
                <w:color w:val="000000"/>
              </w:rPr>
              <w:t>2,545</w:t>
            </w:r>
          </w:p>
        </w:tc>
      </w:tr>
      <w:tr w:rsidR="00E007A0" w:rsidRPr="00396A58" w:rsidTr="00E007A0">
        <w:trPr>
          <w:cantSplit/>
          <w:trHeight w:val="142"/>
        </w:trPr>
        <w:tc>
          <w:tcPr>
            <w:tcW w:w="1316" w:type="dxa"/>
            <w:tcBorders>
              <w:top w:val="single" w:sz="8" w:space="0" w:color="auto"/>
              <w:left w:val="single" w:sz="8" w:space="0" w:color="auto"/>
              <w:bottom w:val="single" w:sz="8" w:space="0" w:color="auto"/>
              <w:right w:val="single" w:sz="8" w:space="0" w:color="auto"/>
            </w:tcBorders>
            <w:shd w:val="clear" w:color="auto" w:fill="FFFFFF"/>
          </w:tcPr>
          <w:p w:rsidR="00E007A0" w:rsidRPr="00396A58" w:rsidRDefault="00E007A0" w:rsidP="004D0AB5">
            <w:pPr>
              <w:spacing w:after="0"/>
              <w:ind w:left="100"/>
              <w:rPr>
                <w:b/>
                <w:color w:val="000000"/>
              </w:rPr>
            </w:pPr>
            <w:r w:rsidRPr="00396A58">
              <w:rPr>
                <w:b/>
              </w:rPr>
              <w:t>REA 090</w:t>
            </w:r>
          </w:p>
        </w:tc>
        <w:tc>
          <w:tcPr>
            <w:tcW w:w="1516" w:type="dxa"/>
            <w:tcBorders>
              <w:top w:val="single" w:sz="4" w:space="0" w:color="auto"/>
              <w:left w:val="single" w:sz="8" w:space="0" w:color="auto"/>
              <w:bottom w:val="single" w:sz="4" w:space="0" w:color="auto"/>
              <w:right w:val="single" w:sz="4" w:space="0" w:color="auto"/>
            </w:tcBorders>
            <w:shd w:val="clear" w:color="auto" w:fill="FFFFFF"/>
          </w:tcPr>
          <w:p w:rsidR="00E007A0" w:rsidRPr="00396A58" w:rsidRDefault="00E007A0" w:rsidP="004D0AB5">
            <w:pPr>
              <w:spacing w:after="0"/>
              <w:ind w:left="134"/>
              <w:rPr>
                <w:color w:val="000000"/>
              </w:rPr>
            </w:pPr>
            <w:r w:rsidRPr="00396A58">
              <w:rPr>
                <w:rFonts w:ascii="Calibri" w:hAnsi="Calibri"/>
                <w:color w:val="000000"/>
              </w:rPr>
              <w:t>4,119</w:t>
            </w:r>
          </w:p>
        </w:tc>
      </w:tr>
      <w:tr w:rsidR="00E007A0" w:rsidRPr="00396A58" w:rsidTr="00E007A0">
        <w:trPr>
          <w:cantSplit/>
          <w:trHeight w:val="142"/>
        </w:trPr>
        <w:tc>
          <w:tcPr>
            <w:tcW w:w="1316" w:type="dxa"/>
            <w:tcBorders>
              <w:top w:val="single" w:sz="8" w:space="0" w:color="auto"/>
              <w:left w:val="single" w:sz="8" w:space="0" w:color="auto"/>
              <w:bottom w:val="single" w:sz="8" w:space="0" w:color="auto"/>
              <w:right w:val="single" w:sz="8" w:space="0" w:color="auto"/>
            </w:tcBorders>
            <w:shd w:val="clear" w:color="auto" w:fill="FFFFFF"/>
          </w:tcPr>
          <w:p w:rsidR="00E007A0" w:rsidRPr="00396A58" w:rsidRDefault="00E007A0" w:rsidP="004D0AB5">
            <w:pPr>
              <w:spacing w:after="0"/>
              <w:ind w:left="100"/>
              <w:rPr>
                <w:b/>
                <w:color w:val="000000"/>
              </w:rPr>
            </w:pPr>
            <w:r w:rsidRPr="00396A58">
              <w:rPr>
                <w:b/>
                <w:color w:val="000000"/>
              </w:rPr>
              <w:t>MAT030</w:t>
            </w:r>
          </w:p>
        </w:tc>
        <w:tc>
          <w:tcPr>
            <w:tcW w:w="1516" w:type="dxa"/>
            <w:tcBorders>
              <w:top w:val="single" w:sz="4" w:space="0" w:color="auto"/>
              <w:left w:val="single" w:sz="8" w:space="0" w:color="auto"/>
              <w:bottom w:val="single" w:sz="4" w:space="0" w:color="auto"/>
              <w:right w:val="single" w:sz="4" w:space="0" w:color="auto"/>
            </w:tcBorders>
            <w:shd w:val="clear" w:color="auto" w:fill="FFFFFF"/>
          </w:tcPr>
          <w:p w:rsidR="00E007A0" w:rsidRPr="00396A58" w:rsidRDefault="00E007A0" w:rsidP="003A16E9">
            <w:pPr>
              <w:spacing w:after="0"/>
              <w:ind w:left="134"/>
              <w:rPr>
                <w:color w:val="000000"/>
              </w:rPr>
            </w:pPr>
            <w:r w:rsidRPr="00396A58">
              <w:rPr>
                <w:rFonts w:ascii="Calibri" w:hAnsi="Calibri"/>
                <w:color w:val="000000"/>
              </w:rPr>
              <w:t>7,629</w:t>
            </w:r>
          </w:p>
        </w:tc>
      </w:tr>
      <w:tr w:rsidR="00E007A0" w:rsidRPr="00396A58" w:rsidTr="00E007A0">
        <w:trPr>
          <w:cantSplit/>
          <w:trHeight w:val="142"/>
        </w:trPr>
        <w:tc>
          <w:tcPr>
            <w:tcW w:w="1316" w:type="dxa"/>
            <w:tcBorders>
              <w:top w:val="single" w:sz="8" w:space="0" w:color="auto"/>
              <w:left w:val="single" w:sz="8" w:space="0" w:color="auto"/>
              <w:bottom w:val="single" w:sz="8" w:space="0" w:color="auto"/>
              <w:right w:val="single" w:sz="8" w:space="0" w:color="auto"/>
            </w:tcBorders>
            <w:shd w:val="clear" w:color="auto" w:fill="FFFFFF"/>
          </w:tcPr>
          <w:p w:rsidR="00E007A0" w:rsidRPr="00396A58" w:rsidRDefault="00E007A0" w:rsidP="004D0AB5">
            <w:pPr>
              <w:spacing w:after="0"/>
              <w:ind w:left="100"/>
              <w:rPr>
                <w:b/>
                <w:color w:val="000000"/>
              </w:rPr>
            </w:pPr>
            <w:r w:rsidRPr="00396A58">
              <w:rPr>
                <w:b/>
                <w:color w:val="000000"/>
              </w:rPr>
              <w:t>MAT060</w:t>
            </w:r>
          </w:p>
        </w:tc>
        <w:tc>
          <w:tcPr>
            <w:tcW w:w="1516" w:type="dxa"/>
            <w:tcBorders>
              <w:top w:val="single" w:sz="4" w:space="0" w:color="auto"/>
              <w:left w:val="single" w:sz="8" w:space="0" w:color="auto"/>
              <w:bottom w:val="single" w:sz="4" w:space="0" w:color="auto"/>
              <w:right w:val="single" w:sz="4" w:space="0" w:color="auto"/>
            </w:tcBorders>
            <w:shd w:val="clear" w:color="auto" w:fill="FFFFFF"/>
          </w:tcPr>
          <w:p w:rsidR="00E007A0" w:rsidRPr="00396A58" w:rsidRDefault="00E007A0" w:rsidP="004D0AB5">
            <w:pPr>
              <w:spacing w:after="0"/>
              <w:ind w:left="134"/>
              <w:rPr>
                <w:color w:val="000000"/>
              </w:rPr>
            </w:pPr>
            <w:r w:rsidRPr="00396A58">
              <w:rPr>
                <w:rFonts w:ascii="Calibri" w:hAnsi="Calibri"/>
                <w:color w:val="000000"/>
              </w:rPr>
              <w:t>9,027</w:t>
            </w:r>
          </w:p>
        </w:tc>
      </w:tr>
      <w:tr w:rsidR="00E007A0" w:rsidRPr="00396A58" w:rsidTr="00E007A0">
        <w:trPr>
          <w:cantSplit/>
          <w:trHeight w:val="142"/>
        </w:trPr>
        <w:tc>
          <w:tcPr>
            <w:tcW w:w="1316" w:type="dxa"/>
            <w:tcBorders>
              <w:top w:val="single" w:sz="8" w:space="0" w:color="auto"/>
              <w:left w:val="single" w:sz="8" w:space="0" w:color="auto"/>
              <w:bottom w:val="single" w:sz="8" w:space="0" w:color="auto"/>
              <w:right w:val="single" w:sz="8" w:space="0" w:color="auto"/>
            </w:tcBorders>
            <w:shd w:val="clear" w:color="auto" w:fill="FFFFFF"/>
          </w:tcPr>
          <w:p w:rsidR="00E007A0" w:rsidRPr="00396A58" w:rsidRDefault="00E007A0" w:rsidP="004D0AB5">
            <w:pPr>
              <w:spacing w:after="0"/>
              <w:ind w:left="100"/>
              <w:rPr>
                <w:b/>
                <w:color w:val="000000"/>
              </w:rPr>
            </w:pPr>
            <w:r w:rsidRPr="00396A58">
              <w:rPr>
                <w:b/>
                <w:color w:val="000000"/>
              </w:rPr>
              <w:t>MAT090</w:t>
            </w:r>
          </w:p>
        </w:tc>
        <w:tc>
          <w:tcPr>
            <w:tcW w:w="1516" w:type="dxa"/>
            <w:tcBorders>
              <w:top w:val="single" w:sz="4" w:space="0" w:color="auto"/>
              <w:left w:val="single" w:sz="8" w:space="0" w:color="auto"/>
              <w:bottom w:val="single" w:sz="4" w:space="0" w:color="auto"/>
              <w:right w:val="single" w:sz="4" w:space="0" w:color="auto"/>
            </w:tcBorders>
            <w:shd w:val="clear" w:color="auto" w:fill="FFFFFF"/>
          </w:tcPr>
          <w:p w:rsidR="00E007A0" w:rsidRPr="00396A58" w:rsidRDefault="00E007A0" w:rsidP="003A16E9">
            <w:pPr>
              <w:spacing w:after="0"/>
              <w:ind w:left="134"/>
              <w:rPr>
                <w:color w:val="000000"/>
              </w:rPr>
            </w:pPr>
            <w:r w:rsidRPr="00396A58">
              <w:rPr>
                <w:rFonts w:ascii="Calibri" w:hAnsi="Calibri"/>
                <w:color w:val="000000"/>
              </w:rPr>
              <w:t>8,833</w:t>
            </w:r>
          </w:p>
        </w:tc>
      </w:tr>
      <w:tr w:rsidR="00E007A0" w:rsidRPr="00396A58" w:rsidTr="00E007A0">
        <w:trPr>
          <w:cantSplit/>
          <w:trHeight w:val="142"/>
        </w:trPr>
        <w:tc>
          <w:tcPr>
            <w:tcW w:w="1316" w:type="dxa"/>
            <w:tcBorders>
              <w:top w:val="single" w:sz="8" w:space="0" w:color="auto"/>
              <w:left w:val="single" w:sz="8" w:space="0" w:color="auto"/>
              <w:bottom w:val="single" w:sz="8" w:space="0" w:color="auto"/>
              <w:right w:val="single" w:sz="8" w:space="0" w:color="auto"/>
            </w:tcBorders>
            <w:shd w:val="clear" w:color="auto" w:fill="FFFFFF"/>
          </w:tcPr>
          <w:p w:rsidR="00E007A0" w:rsidRPr="00396A58" w:rsidRDefault="00E007A0" w:rsidP="00464165">
            <w:pPr>
              <w:spacing w:after="0"/>
              <w:ind w:left="100"/>
              <w:rPr>
                <w:b/>
                <w:color w:val="000000"/>
              </w:rPr>
            </w:pPr>
            <w:r w:rsidRPr="00396A58">
              <w:rPr>
                <w:b/>
                <w:color w:val="000000"/>
              </w:rPr>
              <w:t>MAT099</w:t>
            </w:r>
          </w:p>
        </w:tc>
        <w:tc>
          <w:tcPr>
            <w:tcW w:w="1516" w:type="dxa"/>
            <w:tcBorders>
              <w:top w:val="single" w:sz="4" w:space="0" w:color="auto"/>
              <w:left w:val="single" w:sz="8" w:space="0" w:color="auto"/>
              <w:bottom w:val="single" w:sz="4" w:space="0" w:color="auto"/>
              <w:right w:val="single" w:sz="4" w:space="0" w:color="auto"/>
            </w:tcBorders>
            <w:shd w:val="clear" w:color="auto" w:fill="FFFFFF"/>
          </w:tcPr>
          <w:p w:rsidR="00E007A0" w:rsidRPr="00396A58" w:rsidRDefault="00D66996" w:rsidP="004D0AB5">
            <w:pPr>
              <w:spacing w:after="0"/>
              <w:ind w:left="134"/>
              <w:rPr>
                <w:color w:val="000000"/>
              </w:rPr>
            </w:pPr>
            <w:r>
              <w:rPr>
                <w:rFonts w:ascii="Calibri" w:hAnsi="Calibri"/>
                <w:color w:val="000000"/>
              </w:rPr>
              <w:t>636</w:t>
            </w:r>
          </w:p>
        </w:tc>
      </w:tr>
      <w:tr w:rsidR="00E007A0" w:rsidRPr="00396A58" w:rsidTr="00E007A0">
        <w:trPr>
          <w:cantSplit/>
          <w:trHeight w:val="142"/>
        </w:trPr>
        <w:tc>
          <w:tcPr>
            <w:tcW w:w="1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007A0" w:rsidRPr="00396A58" w:rsidRDefault="00E007A0" w:rsidP="004D0AB5">
            <w:pPr>
              <w:spacing w:after="0"/>
              <w:ind w:left="100"/>
              <w:rPr>
                <w:color w:val="000000"/>
              </w:rPr>
            </w:pPr>
            <w:r w:rsidRPr="00396A58">
              <w:rPr>
                <w:color w:val="000000"/>
              </w:rPr>
              <w:t>Total</w:t>
            </w:r>
          </w:p>
        </w:tc>
        <w:tc>
          <w:tcPr>
            <w:tcW w:w="151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E007A0" w:rsidRPr="00396A58" w:rsidRDefault="006D1D6D" w:rsidP="006D1D6D">
            <w:pPr>
              <w:spacing w:after="0"/>
              <w:ind w:left="134"/>
              <w:rPr>
                <w:color w:val="000000"/>
              </w:rPr>
            </w:pPr>
            <w:r>
              <w:rPr>
                <w:color w:val="000000"/>
              </w:rPr>
              <w:t>46</w:t>
            </w:r>
            <w:r w:rsidR="00E007A0" w:rsidRPr="00396A58">
              <w:rPr>
                <w:color w:val="000000"/>
              </w:rPr>
              <w:t>,</w:t>
            </w:r>
            <w:r>
              <w:rPr>
                <w:color w:val="000000"/>
              </w:rPr>
              <w:t>979</w:t>
            </w:r>
          </w:p>
        </w:tc>
      </w:tr>
    </w:tbl>
    <w:p w:rsidR="00332AE2" w:rsidRPr="00396A58" w:rsidRDefault="00332AE2" w:rsidP="00332AE2">
      <w:pPr>
        <w:rPr>
          <w:b/>
        </w:rPr>
      </w:pPr>
    </w:p>
    <w:tbl>
      <w:tblPr>
        <w:tblStyle w:val="TableGrid"/>
        <w:tblpPr w:leftFromText="180" w:rightFromText="180" w:vertAnchor="text" w:horzAnchor="page" w:tblpX="6319" w:tblpY="6"/>
        <w:tblW w:w="0" w:type="auto"/>
        <w:tblLayout w:type="fixed"/>
        <w:tblLook w:val="04A0" w:firstRow="1" w:lastRow="0" w:firstColumn="1" w:lastColumn="0" w:noHBand="0" w:noVBand="1"/>
      </w:tblPr>
      <w:tblGrid>
        <w:gridCol w:w="1368"/>
        <w:gridCol w:w="1620"/>
      </w:tblGrid>
      <w:tr w:rsidR="00E007A0" w:rsidRPr="00396A58" w:rsidTr="00C813DF">
        <w:tc>
          <w:tcPr>
            <w:tcW w:w="1368" w:type="dxa"/>
            <w:tcBorders>
              <w:top w:val="single" w:sz="8" w:space="0" w:color="auto"/>
              <w:left w:val="single" w:sz="8" w:space="0" w:color="auto"/>
              <w:bottom w:val="single" w:sz="8" w:space="0" w:color="auto"/>
              <w:right w:val="single" w:sz="8" w:space="0" w:color="auto"/>
            </w:tcBorders>
          </w:tcPr>
          <w:p w:rsidR="00E007A0" w:rsidRPr="00396A58" w:rsidRDefault="00E007A0" w:rsidP="00CE6968">
            <w:pPr>
              <w:rPr>
                <w:b/>
              </w:rPr>
            </w:pPr>
            <w:r w:rsidRPr="00396A58">
              <w:rPr>
                <w:b/>
              </w:rPr>
              <w:t>Course</w:t>
            </w:r>
          </w:p>
        </w:tc>
        <w:tc>
          <w:tcPr>
            <w:tcW w:w="1620" w:type="dxa"/>
            <w:tcBorders>
              <w:top w:val="single" w:sz="8" w:space="0" w:color="auto"/>
              <w:left w:val="single" w:sz="8" w:space="0" w:color="auto"/>
              <w:bottom w:val="single" w:sz="8" w:space="0" w:color="auto"/>
              <w:right w:val="single" w:sz="8" w:space="0" w:color="auto"/>
            </w:tcBorders>
          </w:tcPr>
          <w:p w:rsidR="00E007A0" w:rsidRPr="00396A58" w:rsidRDefault="00E007A0" w:rsidP="00CE6968">
            <w:pPr>
              <w:rPr>
                <w:b/>
              </w:rPr>
            </w:pPr>
            <w:r w:rsidRPr="00396A58">
              <w:rPr>
                <w:b/>
              </w:rPr>
              <w:t>Registration Count</w:t>
            </w:r>
          </w:p>
        </w:tc>
      </w:tr>
      <w:tr w:rsidR="00E007A0" w:rsidRPr="00396A58" w:rsidTr="00366625">
        <w:tc>
          <w:tcPr>
            <w:tcW w:w="1368" w:type="dxa"/>
            <w:tcBorders>
              <w:top w:val="single" w:sz="8" w:space="0" w:color="auto"/>
              <w:left w:val="single" w:sz="8" w:space="0" w:color="auto"/>
              <w:bottom w:val="single" w:sz="8" w:space="0" w:color="auto"/>
              <w:right w:val="single" w:sz="8" w:space="0" w:color="auto"/>
            </w:tcBorders>
          </w:tcPr>
          <w:p w:rsidR="00E007A0" w:rsidRPr="00396A58" w:rsidRDefault="00E007A0" w:rsidP="00CE6968">
            <w:pPr>
              <w:rPr>
                <w:b/>
              </w:rPr>
            </w:pPr>
            <w:r w:rsidRPr="00396A58">
              <w:rPr>
                <w:b/>
              </w:rPr>
              <w:t>CCR 091*</w:t>
            </w:r>
          </w:p>
        </w:tc>
        <w:tc>
          <w:tcPr>
            <w:tcW w:w="1620" w:type="dxa"/>
            <w:tcBorders>
              <w:top w:val="single" w:sz="8" w:space="0" w:color="auto"/>
              <w:left w:val="single" w:sz="8" w:space="0" w:color="auto"/>
            </w:tcBorders>
            <w:vAlign w:val="center"/>
          </w:tcPr>
          <w:p w:rsidR="00E007A0" w:rsidRPr="00396A58" w:rsidRDefault="00183B19" w:rsidP="00366625">
            <w:r>
              <w:rPr>
                <w:rFonts w:cs="Tahoma"/>
                <w:color w:val="000000"/>
              </w:rPr>
              <w:t>155</w:t>
            </w:r>
          </w:p>
        </w:tc>
      </w:tr>
      <w:tr w:rsidR="00E007A0" w:rsidRPr="00396A58" w:rsidTr="00366625">
        <w:tc>
          <w:tcPr>
            <w:tcW w:w="1368" w:type="dxa"/>
            <w:tcBorders>
              <w:top w:val="single" w:sz="8" w:space="0" w:color="auto"/>
              <w:left w:val="single" w:sz="8" w:space="0" w:color="auto"/>
              <w:bottom w:val="single" w:sz="8" w:space="0" w:color="auto"/>
              <w:right w:val="single" w:sz="8" w:space="0" w:color="auto"/>
            </w:tcBorders>
          </w:tcPr>
          <w:p w:rsidR="00E007A0" w:rsidRPr="00396A58" w:rsidRDefault="00E007A0" w:rsidP="00CE6968">
            <w:pPr>
              <w:rPr>
                <w:b/>
              </w:rPr>
            </w:pPr>
            <w:r w:rsidRPr="00396A58">
              <w:rPr>
                <w:b/>
              </w:rPr>
              <w:t>CCR 092</w:t>
            </w:r>
          </w:p>
        </w:tc>
        <w:tc>
          <w:tcPr>
            <w:tcW w:w="1620" w:type="dxa"/>
            <w:tcBorders>
              <w:left w:val="single" w:sz="8" w:space="0" w:color="auto"/>
            </w:tcBorders>
            <w:vAlign w:val="center"/>
          </w:tcPr>
          <w:p w:rsidR="00E007A0" w:rsidRPr="00396A58" w:rsidRDefault="00E007A0" w:rsidP="00183B19">
            <w:r w:rsidRPr="00396A58">
              <w:rPr>
                <w:rFonts w:cs="Tahoma"/>
                <w:color w:val="000000"/>
              </w:rPr>
              <w:t>5,</w:t>
            </w:r>
            <w:r w:rsidR="00183B19">
              <w:rPr>
                <w:rFonts w:cs="Tahoma"/>
                <w:color w:val="000000"/>
              </w:rPr>
              <w:t>458</w:t>
            </w:r>
          </w:p>
        </w:tc>
      </w:tr>
      <w:tr w:rsidR="00E007A0" w:rsidRPr="00396A58" w:rsidTr="00366625">
        <w:tc>
          <w:tcPr>
            <w:tcW w:w="1368" w:type="dxa"/>
            <w:tcBorders>
              <w:top w:val="single" w:sz="8" w:space="0" w:color="auto"/>
              <w:left w:val="single" w:sz="8" w:space="0" w:color="auto"/>
              <w:bottom w:val="single" w:sz="8" w:space="0" w:color="auto"/>
              <w:right w:val="single" w:sz="8" w:space="0" w:color="auto"/>
            </w:tcBorders>
          </w:tcPr>
          <w:p w:rsidR="00E007A0" w:rsidRPr="00396A58" w:rsidRDefault="00E007A0" w:rsidP="00CE6968">
            <w:pPr>
              <w:rPr>
                <w:b/>
              </w:rPr>
            </w:pPr>
            <w:r w:rsidRPr="00396A58">
              <w:rPr>
                <w:b/>
              </w:rPr>
              <w:t>CCR093</w:t>
            </w:r>
          </w:p>
        </w:tc>
        <w:tc>
          <w:tcPr>
            <w:tcW w:w="1620" w:type="dxa"/>
            <w:tcBorders>
              <w:left w:val="single" w:sz="8" w:space="0" w:color="auto"/>
            </w:tcBorders>
            <w:vAlign w:val="center"/>
          </w:tcPr>
          <w:p w:rsidR="00E007A0" w:rsidRPr="00396A58" w:rsidRDefault="00183B19" w:rsidP="00366625">
            <w:r>
              <w:rPr>
                <w:rFonts w:cs="Tahoma"/>
                <w:color w:val="000000"/>
              </w:rPr>
              <w:t>84</w:t>
            </w:r>
            <w:r w:rsidR="00E007A0" w:rsidRPr="00396A58">
              <w:rPr>
                <w:rFonts w:cs="Tahoma"/>
                <w:color w:val="000000"/>
              </w:rPr>
              <w:t>2</w:t>
            </w:r>
          </w:p>
        </w:tc>
      </w:tr>
      <w:tr w:rsidR="00E007A0" w:rsidRPr="00396A58" w:rsidTr="00366625">
        <w:tc>
          <w:tcPr>
            <w:tcW w:w="1368" w:type="dxa"/>
            <w:tcBorders>
              <w:top w:val="single" w:sz="8" w:space="0" w:color="auto"/>
              <w:left w:val="single" w:sz="8" w:space="0" w:color="auto"/>
              <w:bottom w:val="single" w:sz="8" w:space="0" w:color="auto"/>
              <w:right w:val="single" w:sz="8" w:space="0" w:color="auto"/>
            </w:tcBorders>
          </w:tcPr>
          <w:p w:rsidR="00E007A0" w:rsidRPr="00396A58" w:rsidRDefault="00E007A0" w:rsidP="00CE6968">
            <w:pPr>
              <w:rPr>
                <w:b/>
              </w:rPr>
            </w:pPr>
            <w:r w:rsidRPr="00396A58">
              <w:rPr>
                <w:b/>
              </w:rPr>
              <w:t>CCR 094</w:t>
            </w:r>
          </w:p>
        </w:tc>
        <w:tc>
          <w:tcPr>
            <w:tcW w:w="1620" w:type="dxa"/>
            <w:tcBorders>
              <w:left w:val="single" w:sz="8" w:space="0" w:color="auto"/>
            </w:tcBorders>
            <w:vAlign w:val="center"/>
          </w:tcPr>
          <w:p w:rsidR="00E007A0" w:rsidRPr="00396A58" w:rsidRDefault="00E007A0" w:rsidP="00183B19">
            <w:r w:rsidRPr="00396A58">
              <w:rPr>
                <w:rFonts w:cs="Tahoma"/>
                <w:color w:val="000000"/>
              </w:rPr>
              <w:t>5,</w:t>
            </w:r>
            <w:r w:rsidR="00183B19">
              <w:rPr>
                <w:rFonts w:cs="Tahoma"/>
                <w:color w:val="000000"/>
              </w:rPr>
              <w:t>214</w:t>
            </w:r>
          </w:p>
        </w:tc>
      </w:tr>
      <w:tr w:rsidR="00E007A0" w:rsidRPr="00396A58" w:rsidTr="00366625">
        <w:tc>
          <w:tcPr>
            <w:tcW w:w="1368" w:type="dxa"/>
            <w:tcBorders>
              <w:top w:val="single" w:sz="8" w:space="0" w:color="auto"/>
              <w:left w:val="single" w:sz="8" w:space="0" w:color="auto"/>
              <w:bottom w:val="single" w:sz="8" w:space="0" w:color="auto"/>
              <w:right w:val="single" w:sz="8" w:space="0" w:color="auto"/>
            </w:tcBorders>
          </w:tcPr>
          <w:p w:rsidR="00E007A0" w:rsidRPr="00396A58" w:rsidRDefault="00E007A0" w:rsidP="00E96F34">
            <w:pPr>
              <w:rPr>
                <w:b/>
              </w:rPr>
            </w:pPr>
            <w:r w:rsidRPr="00396A58">
              <w:rPr>
                <w:b/>
              </w:rPr>
              <w:t>MAT 025*</w:t>
            </w:r>
          </w:p>
        </w:tc>
        <w:tc>
          <w:tcPr>
            <w:tcW w:w="1620" w:type="dxa"/>
            <w:tcBorders>
              <w:left w:val="single" w:sz="8" w:space="0" w:color="auto"/>
            </w:tcBorders>
            <w:vAlign w:val="center"/>
          </w:tcPr>
          <w:p w:rsidR="00E007A0" w:rsidRPr="00396A58" w:rsidDel="00B55CAE" w:rsidRDefault="00E007A0" w:rsidP="00366625">
            <w:r w:rsidRPr="00396A58">
              <w:rPr>
                <w:color w:val="000000"/>
              </w:rPr>
              <w:t>1,666</w:t>
            </w:r>
          </w:p>
        </w:tc>
      </w:tr>
      <w:tr w:rsidR="00E007A0" w:rsidRPr="00396A58" w:rsidTr="00366625">
        <w:tc>
          <w:tcPr>
            <w:tcW w:w="1368" w:type="dxa"/>
            <w:tcBorders>
              <w:top w:val="single" w:sz="8" w:space="0" w:color="auto"/>
              <w:left w:val="single" w:sz="8" w:space="0" w:color="auto"/>
              <w:bottom w:val="single" w:sz="8" w:space="0" w:color="auto"/>
              <w:right w:val="single" w:sz="8" w:space="0" w:color="auto"/>
            </w:tcBorders>
          </w:tcPr>
          <w:p w:rsidR="00E007A0" w:rsidRPr="00396A58" w:rsidRDefault="00E007A0" w:rsidP="00E96F34">
            <w:pPr>
              <w:rPr>
                <w:b/>
              </w:rPr>
            </w:pPr>
            <w:r w:rsidRPr="00396A58">
              <w:rPr>
                <w:b/>
              </w:rPr>
              <w:t>MAT 050</w:t>
            </w:r>
          </w:p>
        </w:tc>
        <w:tc>
          <w:tcPr>
            <w:tcW w:w="1620" w:type="dxa"/>
            <w:tcBorders>
              <w:left w:val="single" w:sz="8" w:space="0" w:color="auto"/>
            </w:tcBorders>
            <w:vAlign w:val="center"/>
          </w:tcPr>
          <w:p w:rsidR="00E007A0" w:rsidRPr="00396A58" w:rsidRDefault="00E007A0" w:rsidP="00366625">
            <w:r w:rsidRPr="00396A58">
              <w:rPr>
                <w:color w:val="000000"/>
              </w:rPr>
              <w:t>11,121</w:t>
            </w:r>
          </w:p>
        </w:tc>
      </w:tr>
      <w:tr w:rsidR="00E007A0" w:rsidRPr="00396A58" w:rsidTr="00366625">
        <w:tc>
          <w:tcPr>
            <w:tcW w:w="1368" w:type="dxa"/>
            <w:tcBorders>
              <w:top w:val="single" w:sz="8" w:space="0" w:color="auto"/>
              <w:left w:val="single" w:sz="8" w:space="0" w:color="auto"/>
              <w:bottom w:val="single" w:sz="8" w:space="0" w:color="auto"/>
              <w:right w:val="single" w:sz="8" w:space="0" w:color="auto"/>
            </w:tcBorders>
          </w:tcPr>
          <w:p w:rsidR="00E007A0" w:rsidRPr="00396A58" w:rsidRDefault="00E007A0" w:rsidP="00E96F34">
            <w:pPr>
              <w:rPr>
                <w:b/>
              </w:rPr>
            </w:pPr>
            <w:r w:rsidRPr="00396A58">
              <w:rPr>
                <w:b/>
              </w:rPr>
              <w:t>MAT 055</w:t>
            </w:r>
          </w:p>
        </w:tc>
        <w:tc>
          <w:tcPr>
            <w:tcW w:w="1620" w:type="dxa"/>
            <w:tcBorders>
              <w:left w:val="single" w:sz="8" w:space="0" w:color="auto"/>
            </w:tcBorders>
            <w:vAlign w:val="center"/>
          </w:tcPr>
          <w:p w:rsidR="00E007A0" w:rsidRPr="00396A58" w:rsidRDefault="00E007A0" w:rsidP="00366625">
            <w:r w:rsidRPr="00396A58">
              <w:rPr>
                <w:color w:val="000000"/>
              </w:rPr>
              <w:t>9,084</w:t>
            </w:r>
          </w:p>
        </w:tc>
      </w:tr>
      <w:tr w:rsidR="00E007A0" w:rsidRPr="00396A58" w:rsidTr="00366625">
        <w:tc>
          <w:tcPr>
            <w:tcW w:w="1368" w:type="dxa"/>
            <w:tcBorders>
              <w:top w:val="single" w:sz="8" w:space="0" w:color="auto"/>
              <w:left w:val="single" w:sz="8" w:space="0" w:color="auto"/>
              <w:bottom w:val="single" w:sz="8" w:space="0" w:color="auto"/>
              <w:right w:val="single" w:sz="8" w:space="0" w:color="auto"/>
            </w:tcBorders>
          </w:tcPr>
          <w:p w:rsidR="00E007A0" w:rsidRPr="00396A58" w:rsidRDefault="00E007A0" w:rsidP="00CE6968">
            <w:pPr>
              <w:rPr>
                <w:b/>
              </w:rPr>
            </w:pPr>
            <w:r w:rsidRPr="00396A58">
              <w:rPr>
                <w:b/>
              </w:rPr>
              <w:t>MAT 091</w:t>
            </w:r>
          </w:p>
        </w:tc>
        <w:tc>
          <w:tcPr>
            <w:tcW w:w="1620" w:type="dxa"/>
            <w:tcBorders>
              <w:left w:val="single" w:sz="8" w:space="0" w:color="auto"/>
            </w:tcBorders>
            <w:vAlign w:val="center"/>
          </w:tcPr>
          <w:p w:rsidR="00E007A0" w:rsidRPr="00396A58" w:rsidRDefault="00E007A0" w:rsidP="00366625">
            <w:r w:rsidRPr="00396A58">
              <w:rPr>
                <w:rFonts w:cs="Tahoma"/>
                <w:color w:val="000000"/>
              </w:rPr>
              <w:t>211</w:t>
            </w:r>
          </w:p>
        </w:tc>
      </w:tr>
      <w:tr w:rsidR="00E007A0" w:rsidRPr="00396A58" w:rsidTr="00366625">
        <w:tc>
          <w:tcPr>
            <w:tcW w:w="1368" w:type="dxa"/>
            <w:tcBorders>
              <w:top w:val="single" w:sz="8" w:space="0" w:color="auto"/>
              <w:left w:val="single" w:sz="8" w:space="0" w:color="auto"/>
              <w:bottom w:val="single" w:sz="8" w:space="0" w:color="auto"/>
              <w:right w:val="single" w:sz="8" w:space="0" w:color="auto"/>
            </w:tcBorders>
          </w:tcPr>
          <w:p w:rsidR="00E007A0" w:rsidRPr="00396A58" w:rsidRDefault="00E007A0" w:rsidP="00CE6968">
            <w:pPr>
              <w:rPr>
                <w:b/>
              </w:rPr>
            </w:pPr>
            <w:r w:rsidRPr="00396A58">
              <w:rPr>
                <w:b/>
              </w:rPr>
              <w:t>MAT 092</w:t>
            </w:r>
          </w:p>
        </w:tc>
        <w:tc>
          <w:tcPr>
            <w:tcW w:w="1620" w:type="dxa"/>
            <w:tcBorders>
              <w:left w:val="single" w:sz="8" w:space="0" w:color="auto"/>
            </w:tcBorders>
            <w:vAlign w:val="center"/>
          </w:tcPr>
          <w:p w:rsidR="00E007A0" w:rsidRPr="00396A58" w:rsidRDefault="00E007A0" w:rsidP="00366625">
            <w:r w:rsidRPr="00396A58">
              <w:rPr>
                <w:rFonts w:cs="Tahoma"/>
                <w:color w:val="000000"/>
              </w:rPr>
              <w:t>12</w:t>
            </w:r>
          </w:p>
        </w:tc>
      </w:tr>
      <w:tr w:rsidR="00E007A0" w:rsidRPr="00396A58" w:rsidTr="00366625">
        <w:tc>
          <w:tcPr>
            <w:tcW w:w="1368" w:type="dxa"/>
            <w:tcBorders>
              <w:top w:val="single" w:sz="8" w:space="0" w:color="auto"/>
              <w:left w:val="single" w:sz="8" w:space="0" w:color="auto"/>
              <w:bottom w:val="single" w:sz="8" w:space="0" w:color="auto"/>
              <w:right w:val="single" w:sz="8" w:space="0" w:color="auto"/>
            </w:tcBorders>
          </w:tcPr>
          <w:p w:rsidR="00E007A0" w:rsidRPr="00396A58" w:rsidRDefault="00E007A0" w:rsidP="00CE6968">
            <w:pPr>
              <w:rPr>
                <w:b/>
              </w:rPr>
            </w:pPr>
            <w:r w:rsidRPr="00396A58">
              <w:rPr>
                <w:b/>
              </w:rPr>
              <w:t>MAT 093</w:t>
            </w:r>
          </w:p>
        </w:tc>
        <w:tc>
          <w:tcPr>
            <w:tcW w:w="1620" w:type="dxa"/>
            <w:tcBorders>
              <w:left w:val="single" w:sz="8" w:space="0" w:color="auto"/>
            </w:tcBorders>
            <w:vAlign w:val="center"/>
          </w:tcPr>
          <w:p w:rsidR="00E007A0" w:rsidRPr="00396A58" w:rsidRDefault="00E007A0" w:rsidP="00366625">
            <w:r w:rsidRPr="00396A58">
              <w:rPr>
                <w:rFonts w:cs="Tahoma"/>
                <w:color w:val="000000"/>
              </w:rPr>
              <w:t>140</w:t>
            </w:r>
          </w:p>
        </w:tc>
      </w:tr>
      <w:tr w:rsidR="00360439" w:rsidRPr="00396A58" w:rsidTr="00366625">
        <w:tc>
          <w:tcPr>
            <w:tcW w:w="1368" w:type="dxa"/>
            <w:tcBorders>
              <w:top w:val="single" w:sz="8" w:space="0" w:color="auto"/>
              <w:left w:val="single" w:sz="8" w:space="0" w:color="auto"/>
              <w:bottom w:val="single" w:sz="8" w:space="0" w:color="auto"/>
              <w:right w:val="single" w:sz="8" w:space="0" w:color="auto"/>
            </w:tcBorders>
          </w:tcPr>
          <w:p w:rsidR="00360439" w:rsidRPr="00396A58" w:rsidRDefault="00360439" w:rsidP="00CE6968">
            <w:pPr>
              <w:rPr>
                <w:b/>
              </w:rPr>
            </w:pPr>
            <w:r>
              <w:rPr>
                <w:b/>
              </w:rPr>
              <w:t>Other Math</w:t>
            </w:r>
            <w:r w:rsidR="00964463">
              <w:rPr>
                <w:rStyle w:val="FootnoteReference"/>
                <w:b/>
              </w:rPr>
              <w:footnoteReference w:id="1"/>
            </w:r>
          </w:p>
        </w:tc>
        <w:tc>
          <w:tcPr>
            <w:tcW w:w="1620" w:type="dxa"/>
            <w:tcBorders>
              <w:left w:val="single" w:sz="8" w:space="0" w:color="auto"/>
            </w:tcBorders>
            <w:vAlign w:val="center"/>
          </w:tcPr>
          <w:p w:rsidR="00360439" w:rsidRPr="00396A58" w:rsidRDefault="00360439" w:rsidP="00366625">
            <w:pPr>
              <w:rPr>
                <w:rFonts w:cs="Tahoma"/>
                <w:color w:val="000000"/>
              </w:rPr>
            </w:pPr>
            <w:r>
              <w:rPr>
                <w:rFonts w:cs="Tahoma"/>
                <w:color w:val="000000"/>
              </w:rPr>
              <w:t>1,</w:t>
            </w:r>
            <w:r w:rsidR="00366625">
              <w:rPr>
                <w:rFonts w:cs="Tahoma"/>
                <w:color w:val="000000"/>
              </w:rPr>
              <w:t>960</w:t>
            </w:r>
          </w:p>
        </w:tc>
      </w:tr>
      <w:tr w:rsidR="00E007A0" w:rsidRPr="00396A58" w:rsidTr="00366625">
        <w:tc>
          <w:tcPr>
            <w:tcW w:w="13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007A0" w:rsidRPr="00396A58" w:rsidRDefault="00E007A0" w:rsidP="00CE6968">
            <w:r w:rsidRPr="00396A58">
              <w:t>Total</w:t>
            </w:r>
          </w:p>
        </w:tc>
        <w:tc>
          <w:tcPr>
            <w:tcW w:w="1620" w:type="dxa"/>
            <w:tcBorders>
              <w:left w:val="single" w:sz="8" w:space="0" w:color="auto"/>
            </w:tcBorders>
            <w:shd w:val="clear" w:color="auto" w:fill="D9D9D9" w:themeFill="background1" w:themeFillShade="D9"/>
            <w:vAlign w:val="center"/>
          </w:tcPr>
          <w:p w:rsidR="00E007A0" w:rsidRPr="00396A58" w:rsidRDefault="00964463" w:rsidP="006D7991">
            <w:r>
              <w:t>3</w:t>
            </w:r>
            <w:r w:rsidR="006D7991">
              <w:t>5,863</w:t>
            </w:r>
          </w:p>
        </w:tc>
      </w:tr>
    </w:tbl>
    <w:p w:rsidR="00332AE2" w:rsidRPr="00396A58" w:rsidRDefault="00332AE2" w:rsidP="00332AE2">
      <w:pPr>
        <w:rPr>
          <w:b/>
        </w:rPr>
      </w:pPr>
    </w:p>
    <w:p w:rsidR="00332AE2" w:rsidRPr="00396A58" w:rsidRDefault="00332AE2" w:rsidP="00332AE2">
      <w:pPr>
        <w:rPr>
          <w:b/>
        </w:rPr>
      </w:pPr>
    </w:p>
    <w:p w:rsidR="00332AE2" w:rsidRPr="00396A58" w:rsidRDefault="00332AE2" w:rsidP="00332AE2">
      <w:pPr>
        <w:rPr>
          <w:b/>
        </w:rPr>
      </w:pPr>
    </w:p>
    <w:p w:rsidR="00332AE2" w:rsidRPr="00396A58" w:rsidRDefault="00332AE2" w:rsidP="00332AE2">
      <w:pPr>
        <w:rPr>
          <w:b/>
        </w:rPr>
      </w:pPr>
    </w:p>
    <w:p w:rsidR="00332AE2" w:rsidRPr="00396A58" w:rsidRDefault="00332AE2" w:rsidP="00332AE2">
      <w:pPr>
        <w:rPr>
          <w:b/>
        </w:rPr>
      </w:pPr>
    </w:p>
    <w:p w:rsidR="00332AE2" w:rsidRPr="00396A58" w:rsidRDefault="00332AE2" w:rsidP="00332AE2">
      <w:pPr>
        <w:rPr>
          <w:b/>
        </w:rPr>
      </w:pPr>
    </w:p>
    <w:p w:rsidR="0065723A" w:rsidRPr="00396A58" w:rsidRDefault="0065723A">
      <w:pPr>
        <w:rPr>
          <w:bCs/>
        </w:rPr>
      </w:pPr>
    </w:p>
    <w:p w:rsidR="0065723A" w:rsidRPr="00396A58" w:rsidRDefault="0065723A">
      <w:pPr>
        <w:rPr>
          <w:bCs/>
        </w:rPr>
      </w:pPr>
    </w:p>
    <w:p w:rsidR="0065723A" w:rsidRPr="00396A58" w:rsidRDefault="00107E3A">
      <w:pPr>
        <w:rPr>
          <w:bCs/>
        </w:rPr>
      </w:pPr>
      <w:r>
        <w:rPr>
          <w:b/>
          <w:noProof/>
        </w:rPr>
        <mc:AlternateContent>
          <mc:Choice Requires="wps">
            <w:drawing>
              <wp:anchor distT="0" distB="0" distL="114300" distR="114300" simplePos="0" relativeHeight="251665408" behindDoc="0" locked="0" layoutInCell="1" allowOverlap="1">
                <wp:simplePos x="0" y="0"/>
                <wp:positionH relativeFrom="column">
                  <wp:posOffset>1289050</wp:posOffset>
                </wp:positionH>
                <wp:positionV relativeFrom="paragraph">
                  <wp:posOffset>179070</wp:posOffset>
                </wp:positionV>
                <wp:extent cx="2759075" cy="580390"/>
                <wp:effectExtent l="0" t="0" r="2222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580390"/>
                        </a:xfrm>
                        <a:prstGeom prst="rect">
                          <a:avLst/>
                        </a:prstGeom>
                        <a:solidFill>
                          <a:srgbClr val="FFFFFF"/>
                        </a:solidFill>
                        <a:ln w="9525">
                          <a:solidFill>
                            <a:srgbClr val="000000"/>
                          </a:solidFill>
                          <a:miter lim="800000"/>
                          <a:headEnd/>
                          <a:tailEnd/>
                        </a:ln>
                      </wps:spPr>
                      <wps:txbx>
                        <w:txbxContent>
                          <w:p w:rsidR="009F24DA" w:rsidRPr="008E19E4" w:rsidRDefault="009F24DA" w:rsidP="008E19E4">
                            <w:pPr>
                              <w:spacing w:line="240" w:lineRule="auto"/>
                              <w:rPr>
                                <w:sz w:val="20"/>
                                <w:szCs w:val="20"/>
                              </w:rPr>
                            </w:pPr>
                            <w:r w:rsidRPr="008E19E4">
                              <w:rPr>
                                <w:sz w:val="20"/>
                                <w:szCs w:val="20"/>
                              </w:rPr>
                              <w:t>* CCR 091 and MAT 025 are intended as supplementa</w:t>
                            </w:r>
                            <w:r>
                              <w:rPr>
                                <w:sz w:val="20"/>
                                <w:szCs w:val="20"/>
                              </w:rPr>
                              <w:t>l</w:t>
                            </w:r>
                            <w:r w:rsidRPr="008E19E4">
                              <w:rPr>
                                <w:sz w:val="20"/>
                                <w:szCs w:val="20"/>
                              </w:rPr>
                              <w:t xml:space="preserve"> courses for CCR 092 and MAT 055, respectively.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1.5pt;margin-top:14.1pt;width:217.25pt;height:4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">
                <v:textbox>
                  <w:txbxContent>
                    <w:p w:rsidR="009F24DA" w:rsidRPr="008E19E4" w:rsidRDefault="009F24DA" w:rsidP="008E19E4">
                      <w:pPr>
                        <w:spacing w:line="240" w:lineRule="auto"/>
                        <w:rPr>
                          <w:sz w:val="20"/>
                          <w:szCs w:val="20"/>
                        </w:rPr>
                      </w:pPr>
                      <w:r w:rsidRPr="008E19E4">
                        <w:rPr>
                          <w:sz w:val="20"/>
                          <w:szCs w:val="20"/>
                        </w:rPr>
                        <w:t>* CCR 091 and MAT 025 are intended as supplementa</w:t>
                      </w:r>
                      <w:r>
                        <w:rPr>
                          <w:sz w:val="20"/>
                          <w:szCs w:val="20"/>
                        </w:rPr>
                        <w:t>l</w:t>
                      </w:r>
                      <w:r w:rsidRPr="008E19E4">
                        <w:rPr>
                          <w:sz w:val="20"/>
                          <w:szCs w:val="20"/>
                        </w:rPr>
                        <w:t xml:space="preserve"> courses for CCR 092 and MAT 055, respectively. </w:t>
                      </w:r>
                    </w:p>
                  </w:txbxContent>
                </v:textbox>
              </v:shape>
            </w:pict>
          </mc:Fallback>
        </mc:AlternateContent>
      </w:r>
    </w:p>
    <w:p w:rsidR="008E19E4" w:rsidRPr="00396A58" w:rsidRDefault="008E19E4" w:rsidP="00B55CAE"/>
    <w:p w:rsidR="008E19E4" w:rsidRPr="00396A58" w:rsidRDefault="008E19E4">
      <w:pPr>
        <w:rPr>
          <w:rFonts w:asciiTheme="majorHAnsi" w:eastAsiaTheme="majorEastAsia" w:hAnsiTheme="majorHAnsi" w:cstheme="majorBidi"/>
          <w:b/>
          <w:bCs/>
          <w:color w:val="4F81BD" w:themeColor="accent1"/>
          <w:sz w:val="26"/>
          <w:szCs w:val="26"/>
        </w:rPr>
      </w:pPr>
    </w:p>
    <w:p w:rsidR="0097283C" w:rsidRPr="00396A58" w:rsidRDefault="00BE7100" w:rsidP="008E19E4">
      <w:pPr>
        <w:pStyle w:val="Heading2"/>
      </w:pPr>
      <w:r w:rsidRPr="00396A58">
        <w:t>Completion Rates for Students in Reading and Writing Courses</w:t>
      </w:r>
    </w:p>
    <w:p w:rsidR="00C65FFA" w:rsidRPr="00396A58" w:rsidRDefault="00C45121" w:rsidP="00332AE2">
      <w:r w:rsidRPr="00396A58">
        <w:t xml:space="preserve">Prior to the redesign of developmental education, Colorado community colleges had separate developmental courses for reading and writing. Students who did </w:t>
      </w:r>
      <w:r w:rsidR="00607C6B" w:rsidRPr="00396A58">
        <w:t xml:space="preserve">not demonstrate college </w:t>
      </w:r>
      <w:r w:rsidR="00823F72" w:rsidRPr="00396A58">
        <w:t>readiness in reading</w:t>
      </w:r>
      <w:r w:rsidRPr="00396A58">
        <w:t xml:space="preserve"> enrolled in one of three courses in the REA discipline, REA 030, 060, or 090. </w:t>
      </w:r>
      <w:r w:rsidR="00607C6B" w:rsidRPr="00396A58">
        <w:t xml:space="preserve">Students who </w:t>
      </w:r>
      <w:r w:rsidRPr="00396A58">
        <w:t xml:space="preserve">did not demonstrate college </w:t>
      </w:r>
      <w:r w:rsidR="00823F72" w:rsidRPr="00396A58">
        <w:t xml:space="preserve">readiness in </w:t>
      </w:r>
      <w:r w:rsidRPr="00396A58">
        <w:t>writing skills enrolled in one of three courses in the ENG discipline, ENG 030, 060, or 090.</w:t>
      </w:r>
      <w:r w:rsidR="00607C6B" w:rsidRPr="00396A58">
        <w:t xml:space="preserve"> </w:t>
      </w:r>
    </w:p>
    <w:p w:rsidR="008F730E" w:rsidRPr="00396A58" w:rsidRDefault="00823F72">
      <w:pPr>
        <w:rPr>
          <w:b/>
        </w:rPr>
      </w:pPr>
      <w:r w:rsidRPr="00396A58">
        <w:rPr>
          <w:b/>
        </w:rPr>
        <w:t xml:space="preserve">Tables </w:t>
      </w:r>
      <w:r w:rsidR="0059787C" w:rsidRPr="00396A58">
        <w:rPr>
          <w:b/>
        </w:rPr>
        <w:t>6</w:t>
      </w:r>
      <w:r w:rsidRPr="00396A58">
        <w:t xml:space="preserve"> and </w:t>
      </w:r>
      <w:r w:rsidR="0059787C" w:rsidRPr="00396A58">
        <w:rPr>
          <w:b/>
        </w:rPr>
        <w:t>7</w:t>
      </w:r>
      <w:r w:rsidR="008F730E" w:rsidRPr="00396A58">
        <w:rPr>
          <w:b/>
        </w:rPr>
        <w:t xml:space="preserve"> </w:t>
      </w:r>
      <w:r w:rsidR="008F730E" w:rsidRPr="00396A58">
        <w:t>(next page)</w:t>
      </w:r>
      <w:r w:rsidRPr="00396A58">
        <w:rPr>
          <w:b/>
        </w:rPr>
        <w:t xml:space="preserve"> </w:t>
      </w:r>
      <w:r w:rsidRPr="00396A58">
        <w:t>report on the outcomes for students who were enrolled in developmental reading and writing courses in the 2008-2009 academic year</w:t>
      </w:r>
      <w:r w:rsidR="00E50938">
        <w:t>, their success in those courses,</w:t>
      </w:r>
      <w:r w:rsidRPr="00396A58">
        <w:t xml:space="preserve"> and their enrollment and success (defined as receiving a “C” or better) in college-level courses within the academic year following their developmental course (for example, if a student took ENG 060 in Spring 2009, they were counted if they enrolled in a college-level course that term, during the summer, or in the subsequent Fall semester). The specific college-level courses examined in this report are a composition course (ENG 121) and courses qualifying for Guaranteed Transfer credit (gtPathways courses). </w:t>
      </w:r>
      <w:r w:rsidR="008F730E" w:rsidRPr="00396A58">
        <w:rPr>
          <w:b/>
        </w:rPr>
        <w:br w:type="page"/>
      </w:r>
    </w:p>
    <w:p w:rsidR="00C3607D" w:rsidRPr="00396A58" w:rsidRDefault="004B072F" w:rsidP="0045223A">
      <w:pPr>
        <w:spacing w:after="0"/>
        <w:rPr>
          <w:b/>
        </w:rPr>
      </w:pPr>
      <w:r w:rsidRPr="00396A58">
        <w:rPr>
          <w:b/>
        </w:rPr>
        <w:lastRenderedPageBreak/>
        <w:t xml:space="preserve">Table </w:t>
      </w:r>
      <w:r w:rsidR="008F730E" w:rsidRPr="00396A58">
        <w:rPr>
          <w:b/>
        </w:rPr>
        <w:t>6</w:t>
      </w:r>
      <w:r w:rsidRPr="00396A58">
        <w:rPr>
          <w:b/>
        </w:rPr>
        <w:t xml:space="preserve">.  </w:t>
      </w:r>
      <w:r w:rsidR="008E2E39">
        <w:rPr>
          <w:b/>
        </w:rPr>
        <w:t>Completion of College-</w:t>
      </w:r>
      <w:r w:rsidR="001E51B1" w:rsidRPr="00396A58">
        <w:rPr>
          <w:b/>
        </w:rPr>
        <w:t xml:space="preserve">Level English (ENG 121) in One Academic Year for Students Enrolled in Developmental Reading </w:t>
      </w:r>
      <w:r w:rsidR="00524F43" w:rsidRPr="00396A58">
        <w:rPr>
          <w:b/>
        </w:rPr>
        <w:t xml:space="preserve">and Developmental English </w:t>
      </w:r>
      <w:r w:rsidR="001E51B1" w:rsidRPr="00396A58">
        <w:rPr>
          <w:b/>
        </w:rPr>
        <w:t>2008-</w:t>
      </w:r>
      <w:r w:rsidR="00A240F8" w:rsidRPr="00396A58">
        <w:rPr>
          <w:b/>
        </w:rPr>
        <w:t>20</w:t>
      </w:r>
      <w:r w:rsidR="001E51B1" w:rsidRPr="00396A58">
        <w:rPr>
          <w:b/>
        </w:rPr>
        <w:t>09.</w:t>
      </w:r>
    </w:p>
    <w:tbl>
      <w:tblPr>
        <w:tblpPr w:leftFromText="180" w:rightFromText="180" w:bottomFromText="155" w:vertAnchor="text"/>
        <w:tblW w:w="3896"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14"/>
        <w:gridCol w:w="1994"/>
        <w:gridCol w:w="1771"/>
        <w:gridCol w:w="2279"/>
      </w:tblGrid>
      <w:tr w:rsidR="007F264F" w:rsidRPr="00396A58" w:rsidTr="007F264F">
        <w:trPr>
          <w:trHeight w:val="890"/>
        </w:trPr>
        <w:tc>
          <w:tcPr>
            <w:tcW w:w="1250" w:type="pct"/>
            <w:tcMar>
              <w:top w:w="0" w:type="dxa"/>
              <w:left w:w="108" w:type="dxa"/>
              <w:bottom w:w="0" w:type="dxa"/>
              <w:right w:w="108" w:type="dxa"/>
            </w:tcMar>
            <w:hideMark/>
          </w:tcPr>
          <w:p w:rsidR="007F264F" w:rsidRPr="00396A58" w:rsidRDefault="007F264F" w:rsidP="001E51B1">
            <w:pPr>
              <w:rPr>
                <w:rFonts w:eastAsiaTheme="minorHAnsi"/>
                <w:b/>
                <w:bCs/>
              </w:rPr>
            </w:pPr>
            <w:r w:rsidRPr="00396A58">
              <w:rPr>
                <w:b/>
                <w:bCs/>
              </w:rPr>
              <w:t xml:space="preserve">Course  </w:t>
            </w:r>
          </w:p>
        </w:tc>
        <w:tc>
          <w:tcPr>
            <w:tcW w:w="1237" w:type="pct"/>
            <w:tcMar>
              <w:top w:w="0" w:type="dxa"/>
              <w:left w:w="108" w:type="dxa"/>
              <w:bottom w:w="0" w:type="dxa"/>
              <w:right w:w="108" w:type="dxa"/>
            </w:tcMar>
            <w:hideMark/>
          </w:tcPr>
          <w:p w:rsidR="007F264F" w:rsidRPr="00396A58" w:rsidRDefault="007F264F" w:rsidP="001E51B1">
            <w:pPr>
              <w:rPr>
                <w:b/>
                <w:bCs/>
              </w:rPr>
            </w:pPr>
            <w:r w:rsidRPr="00396A58">
              <w:rPr>
                <w:b/>
                <w:bCs/>
              </w:rPr>
              <w:t xml:space="preserve">Students enrolled in </w:t>
            </w:r>
            <w:r w:rsidR="00E50938">
              <w:rPr>
                <w:b/>
                <w:bCs/>
              </w:rPr>
              <w:t xml:space="preserve">developmental </w:t>
            </w:r>
            <w:r w:rsidRPr="00396A58">
              <w:rPr>
                <w:b/>
                <w:bCs/>
              </w:rPr>
              <w:t>course</w:t>
            </w:r>
          </w:p>
        </w:tc>
        <w:tc>
          <w:tcPr>
            <w:tcW w:w="1099" w:type="pct"/>
            <w:tcMar>
              <w:top w:w="0" w:type="dxa"/>
              <w:left w:w="108" w:type="dxa"/>
              <w:bottom w:w="0" w:type="dxa"/>
              <w:right w:w="108" w:type="dxa"/>
            </w:tcMar>
            <w:hideMark/>
          </w:tcPr>
          <w:p w:rsidR="007F264F" w:rsidRPr="00396A58" w:rsidRDefault="007F264F" w:rsidP="001E51B1">
            <w:pPr>
              <w:rPr>
                <w:rFonts w:eastAsiaTheme="minorHAnsi"/>
                <w:b/>
                <w:bCs/>
              </w:rPr>
            </w:pPr>
            <w:r w:rsidRPr="00396A58">
              <w:rPr>
                <w:b/>
                <w:bCs/>
              </w:rPr>
              <w:t xml:space="preserve">…successfully completed the course </w:t>
            </w:r>
          </w:p>
        </w:tc>
        <w:tc>
          <w:tcPr>
            <w:tcW w:w="1414" w:type="pct"/>
          </w:tcPr>
          <w:p w:rsidR="007F264F" w:rsidRPr="00396A58" w:rsidRDefault="007F264F" w:rsidP="001E51B1">
            <w:pPr>
              <w:rPr>
                <w:b/>
                <w:bCs/>
              </w:rPr>
            </w:pPr>
            <w:r w:rsidRPr="00396A58">
              <w:rPr>
                <w:b/>
                <w:bCs/>
              </w:rPr>
              <w:t>…successfully completed ENG 121 in the following year</w:t>
            </w:r>
          </w:p>
        </w:tc>
      </w:tr>
      <w:tr w:rsidR="00450E1A" w:rsidRPr="00396A58" w:rsidTr="005B6E28">
        <w:trPr>
          <w:trHeight w:val="435"/>
        </w:trPr>
        <w:tc>
          <w:tcPr>
            <w:tcW w:w="1250" w:type="pct"/>
            <w:tcMar>
              <w:top w:w="0" w:type="dxa"/>
              <w:left w:w="108" w:type="dxa"/>
              <w:bottom w:w="0" w:type="dxa"/>
              <w:right w:w="108" w:type="dxa"/>
            </w:tcMar>
          </w:tcPr>
          <w:p w:rsidR="00450E1A" w:rsidRPr="00396A58" w:rsidRDefault="00450E1A" w:rsidP="005B6E28">
            <w:pPr>
              <w:spacing w:after="0"/>
              <w:rPr>
                <w:rFonts w:eastAsiaTheme="minorHAnsi"/>
                <w:b/>
              </w:rPr>
            </w:pPr>
            <w:r w:rsidRPr="00396A58">
              <w:rPr>
                <w:b/>
              </w:rPr>
              <w:t>ENG 030</w:t>
            </w:r>
          </w:p>
        </w:tc>
        <w:tc>
          <w:tcPr>
            <w:tcW w:w="1237" w:type="pct"/>
            <w:tcMar>
              <w:top w:w="0" w:type="dxa"/>
              <w:left w:w="108" w:type="dxa"/>
              <w:bottom w:w="0" w:type="dxa"/>
              <w:right w:w="108" w:type="dxa"/>
            </w:tcMar>
            <w:vAlign w:val="center"/>
          </w:tcPr>
          <w:p w:rsidR="00450E1A" w:rsidRPr="006F0FEC" w:rsidRDefault="00450E1A" w:rsidP="005B6E28">
            <w:pPr>
              <w:spacing w:after="0"/>
              <w:jc w:val="right"/>
              <w:rPr>
                <w:rFonts w:cs="Tahoma"/>
                <w:color w:val="000000"/>
              </w:rPr>
            </w:pPr>
            <w:r>
              <w:rPr>
                <w:rFonts w:ascii="Calibri" w:hAnsi="Calibri"/>
                <w:color w:val="000000"/>
              </w:rPr>
              <w:t>664</w:t>
            </w:r>
          </w:p>
        </w:tc>
        <w:tc>
          <w:tcPr>
            <w:tcW w:w="1099" w:type="pct"/>
            <w:tcMar>
              <w:top w:w="0" w:type="dxa"/>
              <w:left w:w="108" w:type="dxa"/>
              <w:bottom w:w="0" w:type="dxa"/>
              <w:right w:w="108" w:type="dxa"/>
            </w:tcMar>
            <w:vAlign w:val="center"/>
          </w:tcPr>
          <w:p w:rsidR="00450E1A" w:rsidRPr="006F0FEC" w:rsidRDefault="00450E1A" w:rsidP="005B6E28">
            <w:pPr>
              <w:spacing w:after="0"/>
              <w:jc w:val="right"/>
              <w:rPr>
                <w:rFonts w:cs="Tahoma"/>
                <w:color w:val="000000"/>
              </w:rPr>
            </w:pPr>
            <w:r>
              <w:rPr>
                <w:rFonts w:ascii="Calibri" w:hAnsi="Calibri"/>
                <w:color w:val="000000"/>
              </w:rPr>
              <w:t>452 (68%)</w:t>
            </w:r>
          </w:p>
        </w:tc>
        <w:tc>
          <w:tcPr>
            <w:tcW w:w="1414" w:type="pct"/>
            <w:vAlign w:val="center"/>
          </w:tcPr>
          <w:p w:rsidR="00450E1A" w:rsidRPr="006F0FEC" w:rsidRDefault="00450E1A" w:rsidP="005B6E28">
            <w:pPr>
              <w:spacing w:after="0"/>
              <w:jc w:val="right"/>
              <w:rPr>
                <w:rFonts w:cs="Tahoma"/>
                <w:color w:val="000000"/>
              </w:rPr>
            </w:pPr>
            <w:r w:rsidRPr="006F0FEC">
              <w:rPr>
                <w:rFonts w:cs="Tahoma"/>
                <w:color w:val="000000"/>
              </w:rPr>
              <w:t>22 (5%)</w:t>
            </w:r>
          </w:p>
        </w:tc>
      </w:tr>
      <w:tr w:rsidR="00450E1A" w:rsidRPr="00396A58" w:rsidTr="005B6E28">
        <w:trPr>
          <w:trHeight w:val="467"/>
        </w:trPr>
        <w:tc>
          <w:tcPr>
            <w:tcW w:w="1250" w:type="pct"/>
            <w:tcMar>
              <w:top w:w="0" w:type="dxa"/>
              <w:left w:w="108" w:type="dxa"/>
              <w:bottom w:w="0" w:type="dxa"/>
              <w:right w:w="108" w:type="dxa"/>
            </w:tcMar>
          </w:tcPr>
          <w:p w:rsidR="00450E1A" w:rsidRPr="00396A58" w:rsidRDefault="00450E1A" w:rsidP="005B6E28">
            <w:pPr>
              <w:spacing w:after="0"/>
              <w:rPr>
                <w:rFonts w:eastAsiaTheme="minorHAnsi"/>
                <w:b/>
              </w:rPr>
            </w:pPr>
            <w:r w:rsidRPr="00396A58">
              <w:rPr>
                <w:b/>
              </w:rPr>
              <w:t>ENG 060</w:t>
            </w:r>
          </w:p>
        </w:tc>
        <w:tc>
          <w:tcPr>
            <w:tcW w:w="1237" w:type="pct"/>
            <w:tcMar>
              <w:top w:w="0" w:type="dxa"/>
              <w:left w:w="108" w:type="dxa"/>
              <w:bottom w:w="0" w:type="dxa"/>
              <w:right w:w="108" w:type="dxa"/>
            </w:tcMar>
            <w:vAlign w:val="center"/>
          </w:tcPr>
          <w:p w:rsidR="00450E1A" w:rsidRPr="006F0FEC" w:rsidRDefault="00450E1A" w:rsidP="005B6E28">
            <w:pPr>
              <w:spacing w:after="0"/>
              <w:jc w:val="right"/>
              <w:rPr>
                <w:rFonts w:cs="Tahoma"/>
                <w:color w:val="000000"/>
              </w:rPr>
            </w:pPr>
            <w:r>
              <w:rPr>
                <w:rFonts w:ascii="Calibri" w:hAnsi="Calibri"/>
                <w:color w:val="000000"/>
              </w:rPr>
              <w:t>2,947</w:t>
            </w:r>
          </w:p>
        </w:tc>
        <w:tc>
          <w:tcPr>
            <w:tcW w:w="1099" w:type="pct"/>
            <w:tcMar>
              <w:top w:w="0" w:type="dxa"/>
              <w:left w:w="108" w:type="dxa"/>
              <w:bottom w:w="0" w:type="dxa"/>
              <w:right w:w="108" w:type="dxa"/>
            </w:tcMar>
            <w:vAlign w:val="center"/>
          </w:tcPr>
          <w:p w:rsidR="00450E1A" w:rsidRPr="006F0FEC" w:rsidRDefault="00450E1A" w:rsidP="005B6E28">
            <w:pPr>
              <w:spacing w:after="0"/>
              <w:jc w:val="right"/>
              <w:rPr>
                <w:rFonts w:cs="Tahoma"/>
                <w:color w:val="000000"/>
              </w:rPr>
            </w:pPr>
            <w:r>
              <w:rPr>
                <w:rFonts w:ascii="Calibri" w:hAnsi="Calibri"/>
                <w:color w:val="000000"/>
              </w:rPr>
              <w:t>2,058 (70%)</w:t>
            </w:r>
          </w:p>
        </w:tc>
        <w:tc>
          <w:tcPr>
            <w:tcW w:w="1414" w:type="pct"/>
            <w:vAlign w:val="center"/>
          </w:tcPr>
          <w:p w:rsidR="00450E1A" w:rsidRPr="006F0FEC" w:rsidRDefault="00450E1A" w:rsidP="005B6E28">
            <w:pPr>
              <w:spacing w:after="0"/>
              <w:jc w:val="right"/>
              <w:rPr>
                <w:rFonts w:cs="Tahoma"/>
                <w:color w:val="000000"/>
              </w:rPr>
            </w:pPr>
            <w:r w:rsidRPr="006F0FEC">
              <w:rPr>
                <w:rFonts w:cs="Tahoma"/>
                <w:color w:val="000000"/>
              </w:rPr>
              <w:t>439 (21%)</w:t>
            </w:r>
          </w:p>
        </w:tc>
      </w:tr>
      <w:tr w:rsidR="00450E1A" w:rsidRPr="00396A58" w:rsidTr="005B6E28">
        <w:trPr>
          <w:trHeight w:val="467"/>
        </w:trPr>
        <w:tc>
          <w:tcPr>
            <w:tcW w:w="1250" w:type="pct"/>
            <w:tcMar>
              <w:top w:w="0" w:type="dxa"/>
              <w:left w:w="108" w:type="dxa"/>
              <w:bottom w:w="0" w:type="dxa"/>
              <w:right w:w="108" w:type="dxa"/>
            </w:tcMar>
          </w:tcPr>
          <w:p w:rsidR="00450E1A" w:rsidRPr="00396A58" w:rsidRDefault="00450E1A" w:rsidP="005B6E28">
            <w:pPr>
              <w:spacing w:after="0"/>
              <w:rPr>
                <w:rFonts w:eastAsiaTheme="minorHAnsi"/>
                <w:b/>
              </w:rPr>
            </w:pPr>
            <w:r w:rsidRPr="00396A58">
              <w:rPr>
                <w:b/>
              </w:rPr>
              <w:t>ENG 090</w:t>
            </w:r>
          </w:p>
        </w:tc>
        <w:tc>
          <w:tcPr>
            <w:tcW w:w="1237" w:type="pct"/>
            <w:tcMar>
              <w:top w:w="0" w:type="dxa"/>
              <w:left w:w="108" w:type="dxa"/>
              <w:bottom w:w="0" w:type="dxa"/>
              <w:right w:w="108" w:type="dxa"/>
            </w:tcMar>
            <w:vAlign w:val="center"/>
          </w:tcPr>
          <w:p w:rsidR="00450E1A" w:rsidRPr="006F0FEC" w:rsidRDefault="00450E1A" w:rsidP="005B6E28">
            <w:pPr>
              <w:spacing w:after="0"/>
              <w:jc w:val="right"/>
              <w:rPr>
                <w:rFonts w:cs="Tahoma"/>
                <w:color w:val="000000"/>
              </w:rPr>
            </w:pPr>
            <w:r>
              <w:rPr>
                <w:rFonts w:ascii="Calibri" w:hAnsi="Calibri"/>
                <w:color w:val="000000"/>
              </w:rPr>
              <w:t>9,302</w:t>
            </w:r>
          </w:p>
        </w:tc>
        <w:tc>
          <w:tcPr>
            <w:tcW w:w="1099" w:type="pct"/>
            <w:tcMar>
              <w:top w:w="0" w:type="dxa"/>
              <w:left w:w="108" w:type="dxa"/>
              <w:bottom w:w="0" w:type="dxa"/>
              <w:right w:w="108" w:type="dxa"/>
            </w:tcMar>
            <w:vAlign w:val="center"/>
          </w:tcPr>
          <w:p w:rsidR="00450E1A" w:rsidRPr="006F0FEC" w:rsidRDefault="00450E1A" w:rsidP="005B6E28">
            <w:pPr>
              <w:spacing w:after="0"/>
              <w:jc w:val="right"/>
              <w:rPr>
                <w:rFonts w:cs="Tahoma"/>
                <w:color w:val="000000"/>
              </w:rPr>
            </w:pPr>
            <w:r>
              <w:rPr>
                <w:rFonts w:ascii="Calibri" w:hAnsi="Calibri"/>
                <w:color w:val="000000"/>
              </w:rPr>
              <w:t>6,225 (67%)</w:t>
            </w:r>
          </w:p>
        </w:tc>
        <w:tc>
          <w:tcPr>
            <w:tcW w:w="1414" w:type="pct"/>
            <w:vAlign w:val="center"/>
          </w:tcPr>
          <w:p w:rsidR="00450E1A" w:rsidRPr="006F0FEC" w:rsidRDefault="00450E1A" w:rsidP="005B6E28">
            <w:pPr>
              <w:spacing w:after="0"/>
              <w:jc w:val="right"/>
              <w:rPr>
                <w:rFonts w:cs="Tahoma"/>
                <w:color w:val="000000"/>
              </w:rPr>
            </w:pPr>
            <w:r w:rsidRPr="006F0FEC">
              <w:rPr>
                <w:rFonts w:cs="Tahoma"/>
                <w:color w:val="000000"/>
              </w:rPr>
              <w:t>2</w:t>
            </w:r>
            <w:r>
              <w:rPr>
                <w:rFonts w:cs="Tahoma"/>
                <w:color w:val="000000"/>
              </w:rPr>
              <w:t>,</w:t>
            </w:r>
            <w:r w:rsidRPr="006F0FEC">
              <w:rPr>
                <w:rFonts w:cs="Tahoma"/>
                <w:color w:val="000000"/>
              </w:rPr>
              <w:t>923 (47%)</w:t>
            </w:r>
          </w:p>
        </w:tc>
      </w:tr>
      <w:tr w:rsidR="00450E1A" w:rsidRPr="00396A58" w:rsidTr="005B6E28">
        <w:trPr>
          <w:trHeight w:val="453"/>
        </w:trPr>
        <w:tc>
          <w:tcPr>
            <w:tcW w:w="1250" w:type="pct"/>
            <w:tcMar>
              <w:top w:w="0" w:type="dxa"/>
              <w:left w:w="108" w:type="dxa"/>
              <w:bottom w:w="0" w:type="dxa"/>
              <w:right w:w="108" w:type="dxa"/>
            </w:tcMar>
          </w:tcPr>
          <w:p w:rsidR="00450E1A" w:rsidRPr="00396A58" w:rsidRDefault="00450E1A" w:rsidP="005B6E28">
            <w:pPr>
              <w:spacing w:after="0"/>
              <w:rPr>
                <w:rFonts w:eastAsiaTheme="minorHAnsi"/>
                <w:b/>
              </w:rPr>
            </w:pPr>
            <w:r w:rsidRPr="00396A58">
              <w:rPr>
                <w:b/>
              </w:rPr>
              <w:t>REA 030</w:t>
            </w:r>
          </w:p>
        </w:tc>
        <w:tc>
          <w:tcPr>
            <w:tcW w:w="1237" w:type="pct"/>
            <w:tcMar>
              <w:top w:w="0" w:type="dxa"/>
              <w:left w:w="108" w:type="dxa"/>
              <w:bottom w:w="0" w:type="dxa"/>
              <w:right w:w="108" w:type="dxa"/>
            </w:tcMar>
            <w:vAlign w:val="center"/>
          </w:tcPr>
          <w:p w:rsidR="00450E1A" w:rsidRPr="006F0FEC" w:rsidRDefault="00450E1A" w:rsidP="005B6E28">
            <w:pPr>
              <w:spacing w:after="0"/>
              <w:jc w:val="right"/>
              <w:rPr>
                <w:rFonts w:cs="Tahoma"/>
                <w:color w:val="000000"/>
              </w:rPr>
            </w:pPr>
            <w:r>
              <w:rPr>
                <w:rFonts w:ascii="Calibri" w:hAnsi="Calibri"/>
                <w:color w:val="000000"/>
              </w:rPr>
              <w:t>642</w:t>
            </w:r>
          </w:p>
        </w:tc>
        <w:tc>
          <w:tcPr>
            <w:tcW w:w="1099" w:type="pct"/>
            <w:tcMar>
              <w:top w:w="0" w:type="dxa"/>
              <w:left w:w="108" w:type="dxa"/>
              <w:bottom w:w="0" w:type="dxa"/>
              <w:right w:w="108" w:type="dxa"/>
            </w:tcMar>
            <w:vAlign w:val="center"/>
          </w:tcPr>
          <w:p w:rsidR="00450E1A" w:rsidRPr="006F0FEC" w:rsidRDefault="00450E1A" w:rsidP="005B6E28">
            <w:pPr>
              <w:spacing w:after="0"/>
              <w:jc w:val="right"/>
              <w:rPr>
                <w:rFonts w:cs="Tahoma"/>
                <w:color w:val="000000"/>
              </w:rPr>
            </w:pPr>
            <w:r>
              <w:rPr>
                <w:rFonts w:ascii="Calibri" w:hAnsi="Calibri"/>
                <w:color w:val="000000"/>
              </w:rPr>
              <w:t>459 (71%)</w:t>
            </w:r>
          </w:p>
        </w:tc>
        <w:tc>
          <w:tcPr>
            <w:tcW w:w="1414" w:type="pct"/>
            <w:vAlign w:val="center"/>
          </w:tcPr>
          <w:p w:rsidR="00450E1A" w:rsidRPr="006F0FEC" w:rsidRDefault="00450E1A" w:rsidP="005B6E28">
            <w:pPr>
              <w:spacing w:after="0"/>
              <w:jc w:val="right"/>
              <w:rPr>
                <w:rFonts w:cs="Tahoma"/>
                <w:color w:val="000000"/>
              </w:rPr>
            </w:pPr>
            <w:r w:rsidRPr="006F0FEC">
              <w:rPr>
                <w:rFonts w:cs="Tahoma"/>
                <w:color w:val="000000"/>
              </w:rPr>
              <w:t>56 (12%)</w:t>
            </w:r>
          </w:p>
        </w:tc>
      </w:tr>
      <w:tr w:rsidR="00450E1A" w:rsidRPr="00396A58" w:rsidTr="005B6E28">
        <w:trPr>
          <w:trHeight w:val="467"/>
        </w:trPr>
        <w:tc>
          <w:tcPr>
            <w:tcW w:w="1250" w:type="pct"/>
            <w:tcMar>
              <w:top w:w="0" w:type="dxa"/>
              <w:left w:w="108" w:type="dxa"/>
              <w:bottom w:w="0" w:type="dxa"/>
              <w:right w:w="108" w:type="dxa"/>
            </w:tcMar>
          </w:tcPr>
          <w:p w:rsidR="00450E1A" w:rsidRPr="00396A58" w:rsidRDefault="00450E1A" w:rsidP="005B6E28">
            <w:pPr>
              <w:spacing w:after="0"/>
              <w:rPr>
                <w:rFonts w:eastAsiaTheme="minorHAnsi"/>
                <w:b/>
              </w:rPr>
            </w:pPr>
            <w:r w:rsidRPr="00396A58">
              <w:rPr>
                <w:b/>
              </w:rPr>
              <w:t>REA 060</w:t>
            </w:r>
          </w:p>
        </w:tc>
        <w:tc>
          <w:tcPr>
            <w:tcW w:w="1237" w:type="pct"/>
            <w:tcMar>
              <w:top w:w="0" w:type="dxa"/>
              <w:left w:w="108" w:type="dxa"/>
              <w:bottom w:w="0" w:type="dxa"/>
              <w:right w:w="108" w:type="dxa"/>
            </w:tcMar>
            <w:vAlign w:val="center"/>
          </w:tcPr>
          <w:p w:rsidR="00450E1A" w:rsidRPr="006F0FEC" w:rsidRDefault="00450E1A" w:rsidP="005B6E28">
            <w:pPr>
              <w:spacing w:after="0"/>
              <w:jc w:val="right"/>
              <w:rPr>
                <w:rFonts w:cs="Tahoma"/>
                <w:color w:val="000000"/>
              </w:rPr>
            </w:pPr>
            <w:r>
              <w:rPr>
                <w:rFonts w:ascii="Calibri" w:hAnsi="Calibri"/>
                <w:color w:val="000000"/>
              </w:rPr>
              <w:t>2,436</w:t>
            </w:r>
          </w:p>
        </w:tc>
        <w:tc>
          <w:tcPr>
            <w:tcW w:w="1099" w:type="pct"/>
            <w:tcMar>
              <w:top w:w="0" w:type="dxa"/>
              <w:left w:w="108" w:type="dxa"/>
              <w:bottom w:w="0" w:type="dxa"/>
              <w:right w:w="108" w:type="dxa"/>
            </w:tcMar>
            <w:vAlign w:val="center"/>
          </w:tcPr>
          <w:p w:rsidR="00450E1A" w:rsidRPr="006F0FEC" w:rsidRDefault="00450E1A" w:rsidP="005B6E28">
            <w:pPr>
              <w:spacing w:after="0"/>
              <w:jc w:val="right"/>
              <w:rPr>
                <w:rFonts w:cs="Tahoma"/>
                <w:color w:val="000000"/>
              </w:rPr>
            </w:pPr>
            <w:r>
              <w:rPr>
                <w:rFonts w:ascii="Calibri" w:hAnsi="Calibri"/>
                <w:color w:val="000000"/>
              </w:rPr>
              <w:t>1,737 (71%)</w:t>
            </w:r>
          </w:p>
        </w:tc>
        <w:tc>
          <w:tcPr>
            <w:tcW w:w="1414" w:type="pct"/>
            <w:vAlign w:val="center"/>
          </w:tcPr>
          <w:p w:rsidR="00450E1A" w:rsidRPr="006F0FEC" w:rsidRDefault="00450E1A" w:rsidP="005B6E28">
            <w:pPr>
              <w:spacing w:after="0"/>
              <w:jc w:val="right"/>
              <w:rPr>
                <w:rFonts w:cs="Tahoma"/>
                <w:color w:val="000000"/>
              </w:rPr>
            </w:pPr>
            <w:r w:rsidRPr="006F0FEC">
              <w:rPr>
                <w:rFonts w:cs="Tahoma"/>
                <w:color w:val="000000"/>
              </w:rPr>
              <w:t>435 (25%)</w:t>
            </w:r>
          </w:p>
        </w:tc>
      </w:tr>
      <w:tr w:rsidR="00450E1A" w:rsidRPr="00396A58" w:rsidTr="005B6E28">
        <w:trPr>
          <w:trHeight w:val="467"/>
        </w:trPr>
        <w:tc>
          <w:tcPr>
            <w:tcW w:w="1250" w:type="pct"/>
            <w:tcMar>
              <w:top w:w="0" w:type="dxa"/>
              <w:left w:w="108" w:type="dxa"/>
              <w:bottom w:w="0" w:type="dxa"/>
              <w:right w:w="108" w:type="dxa"/>
            </w:tcMar>
          </w:tcPr>
          <w:p w:rsidR="00450E1A" w:rsidRPr="00396A58" w:rsidRDefault="00450E1A" w:rsidP="005B6E28">
            <w:pPr>
              <w:spacing w:after="0"/>
              <w:rPr>
                <w:rFonts w:eastAsiaTheme="minorHAnsi"/>
                <w:b/>
              </w:rPr>
            </w:pPr>
            <w:r w:rsidRPr="00396A58">
              <w:rPr>
                <w:b/>
              </w:rPr>
              <w:t>REA 090</w:t>
            </w:r>
          </w:p>
        </w:tc>
        <w:tc>
          <w:tcPr>
            <w:tcW w:w="1237" w:type="pct"/>
            <w:tcMar>
              <w:top w:w="0" w:type="dxa"/>
              <w:left w:w="108" w:type="dxa"/>
              <w:bottom w:w="0" w:type="dxa"/>
              <w:right w:w="108" w:type="dxa"/>
            </w:tcMar>
            <w:vAlign w:val="center"/>
          </w:tcPr>
          <w:p w:rsidR="00450E1A" w:rsidRPr="006F0FEC" w:rsidRDefault="00450E1A" w:rsidP="005B6E28">
            <w:pPr>
              <w:spacing w:after="0"/>
              <w:jc w:val="right"/>
              <w:rPr>
                <w:rFonts w:cs="Tahoma"/>
                <w:color w:val="000000"/>
              </w:rPr>
            </w:pPr>
            <w:r>
              <w:rPr>
                <w:rFonts w:ascii="Calibri" w:hAnsi="Calibri"/>
                <w:color w:val="000000"/>
              </w:rPr>
              <w:t>3,987</w:t>
            </w:r>
          </w:p>
        </w:tc>
        <w:tc>
          <w:tcPr>
            <w:tcW w:w="1099" w:type="pct"/>
            <w:tcMar>
              <w:top w:w="0" w:type="dxa"/>
              <w:left w:w="108" w:type="dxa"/>
              <w:bottom w:w="0" w:type="dxa"/>
              <w:right w:w="108" w:type="dxa"/>
            </w:tcMar>
            <w:vAlign w:val="center"/>
          </w:tcPr>
          <w:p w:rsidR="00450E1A" w:rsidRPr="006F0FEC" w:rsidRDefault="00450E1A" w:rsidP="005B6E28">
            <w:pPr>
              <w:spacing w:after="0"/>
              <w:jc w:val="right"/>
              <w:rPr>
                <w:rFonts w:cs="Tahoma"/>
                <w:color w:val="000000"/>
              </w:rPr>
            </w:pPr>
            <w:r>
              <w:rPr>
                <w:rFonts w:ascii="Calibri" w:hAnsi="Calibri"/>
                <w:color w:val="000000"/>
              </w:rPr>
              <w:t>2,721 (68%)</w:t>
            </w:r>
          </w:p>
        </w:tc>
        <w:tc>
          <w:tcPr>
            <w:tcW w:w="1414" w:type="pct"/>
            <w:vAlign w:val="center"/>
          </w:tcPr>
          <w:p w:rsidR="00450E1A" w:rsidRPr="006F0FEC" w:rsidRDefault="00450E1A" w:rsidP="005B6E28">
            <w:pPr>
              <w:spacing w:after="0"/>
              <w:jc w:val="right"/>
              <w:rPr>
                <w:rFonts w:cs="Tahoma"/>
                <w:color w:val="000000"/>
              </w:rPr>
            </w:pPr>
            <w:r w:rsidRPr="006F0FEC">
              <w:rPr>
                <w:rFonts w:cs="Tahoma"/>
                <w:color w:val="000000"/>
              </w:rPr>
              <w:t>1</w:t>
            </w:r>
            <w:r>
              <w:rPr>
                <w:rFonts w:cs="Tahoma"/>
                <w:color w:val="000000"/>
              </w:rPr>
              <w:t>,</w:t>
            </w:r>
            <w:r w:rsidRPr="006F0FEC">
              <w:rPr>
                <w:rFonts w:cs="Tahoma"/>
                <w:color w:val="000000"/>
              </w:rPr>
              <w:t>058 (39%)</w:t>
            </w:r>
          </w:p>
        </w:tc>
      </w:tr>
      <w:tr w:rsidR="00450E1A" w:rsidRPr="00396A58" w:rsidTr="005B6E28">
        <w:trPr>
          <w:trHeight w:val="467"/>
        </w:trPr>
        <w:tc>
          <w:tcPr>
            <w:tcW w:w="1250" w:type="pct"/>
            <w:tcMar>
              <w:top w:w="0" w:type="dxa"/>
              <w:left w:w="108" w:type="dxa"/>
              <w:bottom w:w="0" w:type="dxa"/>
              <w:right w:w="108" w:type="dxa"/>
            </w:tcMar>
          </w:tcPr>
          <w:p w:rsidR="00450E1A" w:rsidRPr="00396A58" w:rsidRDefault="00450E1A" w:rsidP="005B6E28">
            <w:pPr>
              <w:spacing w:after="0"/>
              <w:rPr>
                <w:b/>
              </w:rPr>
            </w:pPr>
            <w:r w:rsidRPr="00396A58">
              <w:rPr>
                <w:b/>
              </w:rPr>
              <w:t>All DE Language</w:t>
            </w:r>
            <w:r w:rsidRPr="00396A58">
              <w:rPr>
                <w:rStyle w:val="FootnoteReference"/>
                <w:b/>
              </w:rPr>
              <w:footnoteReference w:id="2"/>
            </w:r>
          </w:p>
        </w:tc>
        <w:tc>
          <w:tcPr>
            <w:tcW w:w="1237" w:type="pct"/>
            <w:tcMar>
              <w:top w:w="0" w:type="dxa"/>
              <w:left w:w="108" w:type="dxa"/>
              <w:bottom w:w="0" w:type="dxa"/>
              <w:right w:w="108" w:type="dxa"/>
            </w:tcMar>
            <w:vAlign w:val="center"/>
          </w:tcPr>
          <w:p w:rsidR="00450E1A" w:rsidRPr="006F0FEC" w:rsidRDefault="00450E1A" w:rsidP="005B6E28">
            <w:pPr>
              <w:spacing w:after="0"/>
              <w:jc w:val="right"/>
              <w:rPr>
                <w:color w:val="000000"/>
              </w:rPr>
            </w:pPr>
            <w:r w:rsidRPr="00183B19">
              <w:rPr>
                <w:color w:val="000000"/>
              </w:rPr>
              <w:t>13,406</w:t>
            </w:r>
          </w:p>
        </w:tc>
        <w:tc>
          <w:tcPr>
            <w:tcW w:w="1099" w:type="pct"/>
            <w:tcMar>
              <w:top w:w="0" w:type="dxa"/>
              <w:left w:w="108" w:type="dxa"/>
              <w:bottom w:w="0" w:type="dxa"/>
              <w:right w:w="108" w:type="dxa"/>
            </w:tcMar>
            <w:vAlign w:val="center"/>
          </w:tcPr>
          <w:p w:rsidR="00450E1A" w:rsidRPr="006F0FEC" w:rsidRDefault="00450E1A" w:rsidP="005B6E28">
            <w:pPr>
              <w:spacing w:after="0"/>
              <w:jc w:val="right"/>
              <w:rPr>
                <w:color w:val="000000"/>
              </w:rPr>
            </w:pPr>
            <w:r>
              <w:rPr>
                <w:rFonts w:ascii="Calibri" w:hAnsi="Calibri"/>
                <w:color w:val="000000"/>
              </w:rPr>
              <w:t>9,465 (71%)</w:t>
            </w:r>
          </w:p>
        </w:tc>
        <w:tc>
          <w:tcPr>
            <w:tcW w:w="1414" w:type="pct"/>
            <w:vAlign w:val="center"/>
          </w:tcPr>
          <w:p w:rsidR="00450E1A" w:rsidRPr="006F0FEC" w:rsidRDefault="00450E1A" w:rsidP="005B6E28">
            <w:pPr>
              <w:spacing w:after="0"/>
              <w:jc w:val="right"/>
              <w:rPr>
                <w:bCs/>
                <w:color w:val="000000"/>
              </w:rPr>
            </w:pPr>
            <w:r w:rsidRPr="006F0FEC">
              <w:rPr>
                <w:bCs/>
                <w:color w:val="000000"/>
              </w:rPr>
              <w:t>3</w:t>
            </w:r>
            <w:r>
              <w:rPr>
                <w:bCs/>
                <w:color w:val="000000"/>
              </w:rPr>
              <w:t>,</w:t>
            </w:r>
            <w:r w:rsidRPr="006F0FEC">
              <w:rPr>
                <w:bCs/>
                <w:color w:val="000000"/>
              </w:rPr>
              <w:t>417 (36%)</w:t>
            </w:r>
          </w:p>
        </w:tc>
      </w:tr>
    </w:tbl>
    <w:p w:rsidR="0045223A" w:rsidRPr="00396A58" w:rsidRDefault="0045223A" w:rsidP="0045223A">
      <w:pPr>
        <w:spacing w:after="0"/>
        <w:rPr>
          <w:b/>
        </w:rPr>
      </w:pPr>
    </w:p>
    <w:p w:rsidR="007F264F" w:rsidRDefault="007F264F" w:rsidP="00823F72">
      <w:pPr>
        <w:rPr>
          <w:b/>
        </w:rPr>
      </w:pPr>
    </w:p>
    <w:p w:rsidR="007F264F" w:rsidRDefault="007F264F" w:rsidP="00823F72">
      <w:pPr>
        <w:rPr>
          <w:b/>
        </w:rPr>
      </w:pPr>
    </w:p>
    <w:p w:rsidR="007F264F" w:rsidRDefault="007F264F" w:rsidP="00823F72">
      <w:pPr>
        <w:rPr>
          <w:b/>
        </w:rPr>
      </w:pPr>
    </w:p>
    <w:p w:rsidR="007F264F" w:rsidRDefault="007F264F" w:rsidP="00823F72">
      <w:pPr>
        <w:rPr>
          <w:b/>
        </w:rPr>
      </w:pPr>
    </w:p>
    <w:p w:rsidR="007F264F" w:rsidRDefault="007F264F" w:rsidP="00823F72">
      <w:pPr>
        <w:rPr>
          <w:b/>
        </w:rPr>
      </w:pPr>
    </w:p>
    <w:p w:rsidR="007F264F" w:rsidRDefault="007F264F" w:rsidP="00823F72">
      <w:pPr>
        <w:rPr>
          <w:b/>
        </w:rPr>
      </w:pPr>
    </w:p>
    <w:p w:rsidR="007F264F" w:rsidRDefault="007F264F" w:rsidP="00823F72">
      <w:pPr>
        <w:rPr>
          <w:b/>
        </w:rPr>
      </w:pPr>
    </w:p>
    <w:p w:rsidR="007F264F" w:rsidRDefault="007F264F" w:rsidP="00823F72">
      <w:pPr>
        <w:rPr>
          <w:b/>
        </w:rPr>
      </w:pPr>
    </w:p>
    <w:p w:rsidR="007F264F" w:rsidRDefault="007F264F" w:rsidP="00823F72">
      <w:pPr>
        <w:rPr>
          <w:b/>
        </w:rPr>
      </w:pPr>
    </w:p>
    <w:p w:rsidR="00BC6D53" w:rsidRDefault="00BC6D53" w:rsidP="00823F72">
      <w:pPr>
        <w:rPr>
          <w:b/>
        </w:rPr>
      </w:pPr>
    </w:p>
    <w:p w:rsidR="00C3607D" w:rsidRPr="00396A58" w:rsidRDefault="001E51B1" w:rsidP="00823F72">
      <w:pPr>
        <w:rPr>
          <w:b/>
        </w:rPr>
      </w:pPr>
      <w:r w:rsidRPr="00396A58">
        <w:rPr>
          <w:b/>
        </w:rPr>
        <w:t xml:space="preserve">Table </w:t>
      </w:r>
      <w:r w:rsidR="008F730E" w:rsidRPr="00396A58">
        <w:rPr>
          <w:b/>
        </w:rPr>
        <w:t>7</w:t>
      </w:r>
      <w:r w:rsidRPr="00396A58">
        <w:rPr>
          <w:b/>
        </w:rPr>
        <w:t>. Completion of a gtPathways Course in One Academic Year for Students Enrolled in Developmental Reading</w:t>
      </w:r>
      <w:r w:rsidR="00C6256D" w:rsidRPr="00396A58">
        <w:rPr>
          <w:b/>
        </w:rPr>
        <w:t xml:space="preserve"> and Developmental English</w:t>
      </w:r>
      <w:r w:rsidRPr="00396A58">
        <w:rPr>
          <w:b/>
        </w:rPr>
        <w:t xml:space="preserve"> 2008-</w:t>
      </w:r>
      <w:r w:rsidR="00A240F8" w:rsidRPr="00396A58">
        <w:rPr>
          <w:b/>
        </w:rPr>
        <w:t>2009.</w:t>
      </w:r>
    </w:p>
    <w:tbl>
      <w:tblPr>
        <w:tblpPr w:leftFromText="180" w:rightFromText="180" w:bottomFromText="155" w:vertAnchor="text"/>
        <w:tblW w:w="3896"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14"/>
        <w:gridCol w:w="1994"/>
        <w:gridCol w:w="1771"/>
        <w:gridCol w:w="2279"/>
      </w:tblGrid>
      <w:tr w:rsidR="007F264F" w:rsidRPr="00396A58" w:rsidTr="007F264F">
        <w:trPr>
          <w:trHeight w:val="982"/>
        </w:trPr>
        <w:tc>
          <w:tcPr>
            <w:tcW w:w="1250" w:type="pct"/>
            <w:tcMar>
              <w:top w:w="0" w:type="dxa"/>
              <w:left w:w="108" w:type="dxa"/>
              <w:bottom w:w="0" w:type="dxa"/>
              <w:right w:w="108" w:type="dxa"/>
            </w:tcMar>
            <w:hideMark/>
          </w:tcPr>
          <w:p w:rsidR="007F264F" w:rsidRPr="00396A58" w:rsidRDefault="007F264F" w:rsidP="001E51B1">
            <w:pPr>
              <w:rPr>
                <w:rFonts w:eastAsiaTheme="minorHAnsi"/>
                <w:b/>
                <w:bCs/>
              </w:rPr>
            </w:pPr>
            <w:r w:rsidRPr="00396A58">
              <w:rPr>
                <w:b/>
                <w:bCs/>
              </w:rPr>
              <w:t xml:space="preserve">Course  </w:t>
            </w:r>
          </w:p>
        </w:tc>
        <w:tc>
          <w:tcPr>
            <w:tcW w:w="1237" w:type="pct"/>
            <w:tcMar>
              <w:top w:w="0" w:type="dxa"/>
              <w:left w:w="108" w:type="dxa"/>
              <w:bottom w:w="0" w:type="dxa"/>
              <w:right w:w="108" w:type="dxa"/>
            </w:tcMar>
            <w:hideMark/>
          </w:tcPr>
          <w:p w:rsidR="007F264F" w:rsidRPr="00396A58" w:rsidRDefault="007F264F" w:rsidP="001E51B1">
            <w:pPr>
              <w:rPr>
                <w:b/>
                <w:bCs/>
              </w:rPr>
            </w:pPr>
            <w:r w:rsidRPr="00396A58">
              <w:rPr>
                <w:b/>
                <w:bCs/>
              </w:rPr>
              <w:t xml:space="preserve">Students enrolled in </w:t>
            </w:r>
            <w:r w:rsidR="00E50938">
              <w:rPr>
                <w:b/>
                <w:bCs/>
              </w:rPr>
              <w:t xml:space="preserve">developmental </w:t>
            </w:r>
            <w:r w:rsidRPr="00396A58">
              <w:rPr>
                <w:b/>
                <w:bCs/>
              </w:rPr>
              <w:t>course</w:t>
            </w:r>
          </w:p>
        </w:tc>
        <w:tc>
          <w:tcPr>
            <w:tcW w:w="1099" w:type="pct"/>
            <w:tcMar>
              <w:top w:w="0" w:type="dxa"/>
              <w:left w:w="108" w:type="dxa"/>
              <w:bottom w:w="0" w:type="dxa"/>
              <w:right w:w="108" w:type="dxa"/>
            </w:tcMar>
            <w:hideMark/>
          </w:tcPr>
          <w:p w:rsidR="007F264F" w:rsidRPr="00396A58" w:rsidRDefault="007F264F" w:rsidP="001E51B1">
            <w:pPr>
              <w:rPr>
                <w:rFonts w:eastAsiaTheme="minorHAnsi"/>
                <w:b/>
                <w:bCs/>
              </w:rPr>
            </w:pPr>
            <w:r w:rsidRPr="00396A58">
              <w:rPr>
                <w:b/>
                <w:bCs/>
              </w:rPr>
              <w:t xml:space="preserve">…successfully completed the course </w:t>
            </w:r>
          </w:p>
        </w:tc>
        <w:tc>
          <w:tcPr>
            <w:tcW w:w="1414" w:type="pct"/>
          </w:tcPr>
          <w:p w:rsidR="007F264F" w:rsidRPr="00396A58" w:rsidRDefault="007F264F" w:rsidP="001E51B1">
            <w:pPr>
              <w:rPr>
                <w:b/>
                <w:bCs/>
              </w:rPr>
            </w:pPr>
            <w:r w:rsidRPr="00396A58">
              <w:rPr>
                <w:b/>
                <w:bCs/>
              </w:rPr>
              <w:t xml:space="preserve">…successfully completed </w:t>
            </w:r>
            <w:r w:rsidRPr="00396A58">
              <w:rPr>
                <w:b/>
              </w:rPr>
              <w:t xml:space="preserve">a gtPathways Course </w:t>
            </w:r>
            <w:r w:rsidRPr="00396A58">
              <w:rPr>
                <w:b/>
                <w:bCs/>
              </w:rPr>
              <w:t>in the following year</w:t>
            </w:r>
          </w:p>
        </w:tc>
      </w:tr>
      <w:tr w:rsidR="005B6E28" w:rsidRPr="00396A58" w:rsidTr="005B6E28">
        <w:trPr>
          <w:trHeight w:val="467"/>
        </w:trPr>
        <w:tc>
          <w:tcPr>
            <w:tcW w:w="1250" w:type="pct"/>
            <w:tcMar>
              <w:top w:w="0" w:type="dxa"/>
              <w:left w:w="108" w:type="dxa"/>
              <w:bottom w:w="0" w:type="dxa"/>
              <w:right w:w="108" w:type="dxa"/>
            </w:tcMar>
          </w:tcPr>
          <w:p w:rsidR="005B6E28" w:rsidRPr="00396A58" w:rsidRDefault="005B6E28" w:rsidP="005B6E28">
            <w:pPr>
              <w:spacing w:after="0"/>
              <w:rPr>
                <w:rFonts w:eastAsiaTheme="minorHAnsi"/>
                <w:b/>
              </w:rPr>
            </w:pPr>
            <w:r w:rsidRPr="00396A58">
              <w:rPr>
                <w:b/>
              </w:rPr>
              <w:t>ENG 030</w:t>
            </w:r>
          </w:p>
        </w:tc>
        <w:tc>
          <w:tcPr>
            <w:tcW w:w="1237" w:type="pct"/>
            <w:tcMar>
              <w:top w:w="0" w:type="dxa"/>
              <w:left w:w="108" w:type="dxa"/>
              <w:bottom w:w="0" w:type="dxa"/>
              <w:right w:w="108" w:type="dxa"/>
            </w:tcMar>
            <w:vAlign w:val="center"/>
          </w:tcPr>
          <w:p w:rsidR="005B6E28" w:rsidRPr="00B51213" w:rsidRDefault="005B6E28" w:rsidP="005B6E28">
            <w:pPr>
              <w:spacing w:after="0" w:line="240" w:lineRule="auto"/>
              <w:jc w:val="right"/>
              <w:rPr>
                <w:rFonts w:eastAsiaTheme="minorHAnsi"/>
              </w:rPr>
            </w:pPr>
            <w:r>
              <w:rPr>
                <w:rFonts w:ascii="Calibri" w:hAnsi="Calibri"/>
                <w:color w:val="000000"/>
              </w:rPr>
              <w:t>664</w:t>
            </w:r>
          </w:p>
        </w:tc>
        <w:tc>
          <w:tcPr>
            <w:tcW w:w="1099" w:type="pct"/>
            <w:tcMar>
              <w:top w:w="0" w:type="dxa"/>
              <w:left w:w="108" w:type="dxa"/>
              <w:bottom w:w="0" w:type="dxa"/>
              <w:right w:w="108" w:type="dxa"/>
            </w:tcMar>
            <w:vAlign w:val="center"/>
          </w:tcPr>
          <w:p w:rsidR="005B6E28" w:rsidRPr="00B51213" w:rsidRDefault="005B6E28" w:rsidP="005B6E28">
            <w:pPr>
              <w:spacing w:after="0" w:line="240" w:lineRule="auto"/>
              <w:jc w:val="right"/>
              <w:rPr>
                <w:rFonts w:eastAsiaTheme="minorHAnsi"/>
              </w:rPr>
            </w:pPr>
            <w:r>
              <w:rPr>
                <w:rFonts w:ascii="Calibri" w:hAnsi="Calibri"/>
                <w:color w:val="000000"/>
              </w:rPr>
              <w:t>452 (68%)</w:t>
            </w:r>
          </w:p>
        </w:tc>
        <w:tc>
          <w:tcPr>
            <w:tcW w:w="1414" w:type="pct"/>
            <w:vAlign w:val="center"/>
          </w:tcPr>
          <w:p w:rsidR="005B6E28" w:rsidRPr="00B51213" w:rsidRDefault="005B6E28" w:rsidP="005B6E28">
            <w:pPr>
              <w:spacing w:after="0" w:line="240" w:lineRule="auto"/>
              <w:ind w:firstLine="89"/>
              <w:jc w:val="right"/>
              <w:rPr>
                <w:rFonts w:cs="Tahoma"/>
                <w:color w:val="000000"/>
              </w:rPr>
            </w:pPr>
            <w:r w:rsidRPr="00B51213">
              <w:rPr>
                <w:rFonts w:cs="Tahoma"/>
                <w:color w:val="000000"/>
              </w:rPr>
              <w:t>101 (22%)</w:t>
            </w:r>
          </w:p>
        </w:tc>
      </w:tr>
      <w:tr w:rsidR="005B6E28" w:rsidRPr="00396A58" w:rsidTr="005B6E28">
        <w:trPr>
          <w:trHeight w:val="467"/>
        </w:trPr>
        <w:tc>
          <w:tcPr>
            <w:tcW w:w="1250" w:type="pct"/>
            <w:tcMar>
              <w:top w:w="0" w:type="dxa"/>
              <w:left w:w="108" w:type="dxa"/>
              <w:bottom w:w="0" w:type="dxa"/>
              <w:right w:w="108" w:type="dxa"/>
            </w:tcMar>
          </w:tcPr>
          <w:p w:rsidR="005B6E28" w:rsidRPr="00396A58" w:rsidRDefault="005B6E28" w:rsidP="005B6E28">
            <w:pPr>
              <w:spacing w:after="0"/>
              <w:rPr>
                <w:rFonts w:eastAsiaTheme="minorHAnsi"/>
                <w:b/>
              </w:rPr>
            </w:pPr>
            <w:r w:rsidRPr="00396A58">
              <w:rPr>
                <w:b/>
              </w:rPr>
              <w:t>ENG 060</w:t>
            </w:r>
          </w:p>
        </w:tc>
        <w:tc>
          <w:tcPr>
            <w:tcW w:w="1237" w:type="pct"/>
            <w:tcMar>
              <w:top w:w="0" w:type="dxa"/>
              <w:left w:w="108" w:type="dxa"/>
              <w:bottom w:w="0" w:type="dxa"/>
              <w:right w:w="108" w:type="dxa"/>
            </w:tcMar>
            <w:vAlign w:val="center"/>
          </w:tcPr>
          <w:p w:rsidR="005B6E28" w:rsidRPr="00B51213" w:rsidRDefault="005B6E28" w:rsidP="005B6E28">
            <w:pPr>
              <w:spacing w:after="0" w:line="240" w:lineRule="auto"/>
              <w:jc w:val="right"/>
              <w:rPr>
                <w:rFonts w:eastAsiaTheme="minorHAnsi"/>
              </w:rPr>
            </w:pPr>
            <w:r>
              <w:rPr>
                <w:rFonts w:ascii="Calibri" w:hAnsi="Calibri"/>
                <w:color w:val="000000"/>
              </w:rPr>
              <w:t>2,947</w:t>
            </w:r>
          </w:p>
        </w:tc>
        <w:tc>
          <w:tcPr>
            <w:tcW w:w="1099" w:type="pct"/>
            <w:tcMar>
              <w:top w:w="0" w:type="dxa"/>
              <w:left w:w="108" w:type="dxa"/>
              <w:bottom w:w="0" w:type="dxa"/>
              <w:right w:w="108" w:type="dxa"/>
            </w:tcMar>
            <w:vAlign w:val="center"/>
          </w:tcPr>
          <w:p w:rsidR="005B6E28" w:rsidRPr="00B51213" w:rsidRDefault="005B6E28" w:rsidP="005B6E28">
            <w:pPr>
              <w:spacing w:after="0" w:line="240" w:lineRule="auto"/>
              <w:jc w:val="right"/>
              <w:rPr>
                <w:rFonts w:eastAsiaTheme="minorHAnsi"/>
              </w:rPr>
            </w:pPr>
            <w:r>
              <w:rPr>
                <w:rFonts w:ascii="Calibri" w:hAnsi="Calibri"/>
                <w:color w:val="000000"/>
              </w:rPr>
              <w:t>2,058 (70%)</w:t>
            </w:r>
          </w:p>
        </w:tc>
        <w:tc>
          <w:tcPr>
            <w:tcW w:w="1414" w:type="pct"/>
            <w:vAlign w:val="center"/>
          </w:tcPr>
          <w:p w:rsidR="005B6E28" w:rsidRPr="00B51213" w:rsidRDefault="005B6E28" w:rsidP="005B6E28">
            <w:pPr>
              <w:spacing w:after="0" w:line="240" w:lineRule="auto"/>
              <w:ind w:firstLine="89"/>
              <w:jc w:val="right"/>
              <w:rPr>
                <w:color w:val="000000"/>
              </w:rPr>
            </w:pPr>
            <w:r w:rsidRPr="00B51213">
              <w:rPr>
                <w:color w:val="000000"/>
              </w:rPr>
              <w:t>840</w:t>
            </w:r>
            <w:r w:rsidR="005358C9">
              <w:rPr>
                <w:color w:val="000000"/>
              </w:rPr>
              <w:t xml:space="preserve"> </w:t>
            </w:r>
            <w:r w:rsidRPr="00B51213">
              <w:rPr>
                <w:color w:val="000000"/>
              </w:rPr>
              <w:t>(41%)</w:t>
            </w:r>
          </w:p>
        </w:tc>
      </w:tr>
      <w:tr w:rsidR="005B6E28" w:rsidRPr="00396A58" w:rsidTr="005B6E28">
        <w:trPr>
          <w:trHeight w:val="467"/>
        </w:trPr>
        <w:tc>
          <w:tcPr>
            <w:tcW w:w="1250" w:type="pct"/>
            <w:tcMar>
              <w:top w:w="0" w:type="dxa"/>
              <w:left w:w="108" w:type="dxa"/>
              <w:bottom w:w="0" w:type="dxa"/>
              <w:right w:w="108" w:type="dxa"/>
            </w:tcMar>
          </w:tcPr>
          <w:p w:rsidR="005B6E28" w:rsidRPr="00396A58" w:rsidRDefault="005B6E28" w:rsidP="005B6E28">
            <w:pPr>
              <w:spacing w:after="0"/>
              <w:rPr>
                <w:rFonts w:eastAsiaTheme="minorHAnsi"/>
                <w:b/>
              </w:rPr>
            </w:pPr>
            <w:r w:rsidRPr="00396A58">
              <w:rPr>
                <w:b/>
              </w:rPr>
              <w:t>ENG 090</w:t>
            </w:r>
          </w:p>
        </w:tc>
        <w:tc>
          <w:tcPr>
            <w:tcW w:w="1237" w:type="pct"/>
            <w:tcMar>
              <w:top w:w="0" w:type="dxa"/>
              <w:left w:w="108" w:type="dxa"/>
              <w:bottom w:w="0" w:type="dxa"/>
              <w:right w:w="108" w:type="dxa"/>
            </w:tcMar>
            <w:vAlign w:val="center"/>
          </w:tcPr>
          <w:p w:rsidR="005B6E28" w:rsidRPr="00B51213" w:rsidRDefault="005B6E28" w:rsidP="005B6E28">
            <w:pPr>
              <w:spacing w:after="0" w:line="240" w:lineRule="auto"/>
              <w:jc w:val="right"/>
              <w:rPr>
                <w:rFonts w:eastAsiaTheme="minorHAnsi"/>
              </w:rPr>
            </w:pPr>
            <w:r>
              <w:rPr>
                <w:rFonts w:ascii="Calibri" w:hAnsi="Calibri"/>
                <w:color w:val="000000"/>
              </w:rPr>
              <w:t>9,302</w:t>
            </w:r>
          </w:p>
        </w:tc>
        <w:tc>
          <w:tcPr>
            <w:tcW w:w="1099" w:type="pct"/>
            <w:tcMar>
              <w:top w:w="0" w:type="dxa"/>
              <w:left w:w="108" w:type="dxa"/>
              <w:bottom w:w="0" w:type="dxa"/>
              <w:right w:w="108" w:type="dxa"/>
            </w:tcMar>
            <w:vAlign w:val="center"/>
          </w:tcPr>
          <w:p w:rsidR="005B6E28" w:rsidRPr="00B51213" w:rsidRDefault="005B6E28" w:rsidP="005B6E28">
            <w:pPr>
              <w:spacing w:after="0" w:line="240" w:lineRule="auto"/>
              <w:jc w:val="right"/>
              <w:rPr>
                <w:rFonts w:eastAsiaTheme="minorHAnsi"/>
              </w:rPr>
            </w:pPr>
            <w:r>
              <w:rPr>
                <w:rFonts w:ascii="Calibri" w:hAnsi="Calibri"/>
                <w:color w:val="000000"/>
              </w:rPr>
              <w:t>6,225 (67%)</w:t>
            </w:r>
          </w:p>
        </w:tc>
        <w:tc>
          <w:tcPr>
            <w:tcW w:w="1414" w:type="pct"/>
            <w:vAlign w:val="center"/>
          </w:tcPr>
          <w:p w:rsidR="005B6E28" w:rsidRPr="00B51213" w:rsidRDefault="005B6E28" w:rsidP="005B6E28">
            <w:pPr>
              <w:spacing w:after="0" w:line="240" w:lineRule="auto"/>
              <w:ind w:firstLine="89"/>
              <w:jc w:val="right"/>
              <w:rPr>
                <w:color w:val="000000"/>
              </w:rPr>
            </w:pPr>
            <w:r w:rsidRPr="00B51213">
              <w:rPr>
                <w:color w:val="000000"/>
              </w:rPr>
              <w:t>3,997</w:t>
            </w:r>
            <w:r w:rsidR="005358C9">
              <w:rPr>
                <w:color w:val="000000"/>
              </w:rPr>
              <w:t xml:space="preserve"> </w:t>
            </w:r>
            <w:r w:rsidRPr="00B51213">
              <w:rPr>
                <w:color w:val="000000"/>
              </w:rPr>
              <w:t>(64%)</w:t>
            </w:r>
          </w:p>
        </w:tc>
      </w:tr>
      <w:tr w:rsidR="005B6E28" w:rsidRPr="00396A58" w:rsidTr="005B6E28">
        <w:trPr>
          <w:trHeight w:val="467"/>
        </w:trPr>
        <w:tc>
          <w:tcPr>
            <w:tcW w:w="1250" w:type="pct"/>
            <w:tcMar>
              <w:top w:w="0" w:type="dxa"/>
              <w:left w:w="108" w:type="dxa"/>
              <w:bottom w:w="0" w:type="dxa"/>
              <w:right w:w="108" w:type="dxa"/>
            </w:tcMar>
          </w:tcPr>
          <w:p w:rsidR="005B6E28" w:rsidRPr="00396A58" w:rsidRDefault="005B6E28" w:rsidP="005B6E28">
            <w:pPr>
              <w:spacing w:after="0"/>
              <w:rPr>
                <w:rFonts w:eastAsiaTheme="minorHAnsi"/>
                <w:b/>
              </w:rPr>
            </w:pPr>
            <w:r w:rsidRPr="00396A58">
              <w:rPr>
                <w:b/>
              </w:rPr>
              <w:t>REA 030</w:t>
            </w:r>
          </w:p>
        </w:tc>
        <w:tc>
          <w:tcPr>
            <w:tcW w:w="1237" w:type="pct"/>
            <w:tcMar>
              <w:top w:w="0" w:type="dxa"/>
              <w:left w:w="108" w:type="dxa"/>
              <w:bottom w:w="0" w:type="dxa"/>
              <w:right w:w="108" w:type="dxa"/>
            </w:tcMar>
            <w:vAlign w:val="center"/>
          </w:tcPr>
          <w:p w:rsidR="005B6E28" w:rsidRPr="00B51213" w:rsidRDefault="005B6E28" w:rsidP="005B6E28">
            <w:pPr>
              <w:spacing w:after="0" w:line="240" w:lineRule="auto"/>
              <w:jc w:val="right"/>
            </w:pPr>
            <w:r>
              <w:rPr>
                <w:rFonts w:ascii="Calibri" w:hAnsi="Calibri"/>
                <w:color w:val="000000"/>
              </w:rPr>
              <w:t>642</w:t>
            </w:r>
          </w:p>
        </w:tc>
        <w:tc>
          <w:tcPr>
            <w:tcW w:w="1099" w:type="pct"/>
            <w:tcMar>
              <w:top w:w="0" w:type="dxa"/>
              <w:left w:w="108" w:type="dxa"/>
              <w:bottom w:w="0" w:type="dxa"/>
              <w:right w:w="108" w:type="dxa"/>
            </w:tcMar>
            <w:vAlign w:val="center"/>
          </w:tcPr>
          <w:p w:rsidR="005B6E28" w:rsidRPr="00B51213" w:rsidRDefault="005B6E28" w:rsidP="005B6E28">
            <w:pPr>
              <w:spacing w:after="0" w:line="240" w:lineRule="auto"/>
              <w:jc w:val="right"/>
              <w:rPr>
                <w:rFonts w:eastAsiaTheme="minorHAnsi"/>
              </w:rPr>
            </w:pPr>
            <w:r>
              <w:rPr>
                <w:rFonts w:ascii="Calibri" w:hAnsi="Calibri"/>
                <w:color w:val="000000"/>
              </w:rPr>
              <w:t>459 (71%)</w:t>
            </w:r>
          </w:p>
        </w:tc>
        <w:tc>
          <w:tcPr>
            <w:tcW w:w="1414" w:type="pct"/>
            <w:vAlign w:val="center"/>
          </w:tcPr>
          <w:p w:rsidR="005B6E28" w:rsidRPr="00B51213" w:rsidRDefault="005B6E28" w:rsidP="005B6E28">
            <w:pPr>
              <w:spacing w:after="0" w:line="240" w:lineRule="auto"/>
              <w:ind w:firstLine="89"/>
              <w:jc w:val="right"/>
              <w:rPr>
                <w:color w:val="000000"/>
              </w:rPr>
            </w:pPr>
            <w:r w:rsidRPr="00B51213">
              <w:rPr>
                <w:color w:val="000000"/>
              </w:rPr>
              <w:t>125 (27%)</w:t>
            </w:r>
          </w:p>
        </w:tc>
      </w:tr>
      <w:tr w:rsidR="005B6E28" w:rsidRPr="00396A58" w:rsidTr="005B6E28">
        <w:trPr>
          <w:trHeight w:val="467"/>
        </w:trPr>
        <w:tc>
          <w:tcPr>
            <w:tcW w:w="1250" w:type="pct"/>
            <w:tcMar>
              <w:top w:w="0" w:type="dxa"/>
              <w:left w:w="108" w:type="dxa"/>
              <w:bottom w:w="0" w:type="dxa"/>
              <w:right w:w="108" w:type="dxa"/>
            </w:tcMar>
          </w:tcPr>
          <w:p w:rsidR="005B6E28" w:rsidRPr="00396A58" w:rsidRDefault="005B6E28" w:rsidP="005B6E28">
            <w:pPr>
              <w:spacing w:after="0"/>
              <w:rPr>
                <w:rFonts w:eastAsiaTheme="minorHAnsi"/>
                <w:b/>
              </w:rPr>
            </w:pPr>
            <w:r w:rsidRPr="00396A58">
              <w:rPr>
                <w:b/>
              </w:rPr>
              <w:t>REA 060</w:t>
            </w:r>
          </w:p>
        </w:tc>
        <w:tc>
          <w:tcPr>
            <w:tcW w:w="1237" w:type="pct"/>
            <w:tcMar>
              <w:top w:w="0" w:type="dxa"/>
              <w:left w:w="108" w:type="dxa"/>
              <w:bottom w:w="0" w:type="dxa"/>
              <w:right w:w="108" w:type="dxa"/>
            </w:tcMar>
            <w:vAlign w:val="center"/>
          </w:tcPr>
          <w:p w:rsidR="005B6E28" w:rsidRPr="00B51213" w:rsidRDefault="005B6E28" w:rsidP="005B6E28">
            <w:pPr>
              <w:spacing w:after="0" w:line="240" w:lineRule="auto"/>
              <w:jc w:val="right"/>
            </w:pPr>
            <w:r>
              <w:rPr>
                <w:rFonts w:ascii="Calibri" w:hAnsi="Calibri"/>
                <w:color w:val="000000"/>
              </w:rPr>
              <w:t>2,436</w:t>
            </w:r>
          </w:p>
        </w:tc>
        <w:tc>
          <w:tcPr>
            <w:tcW w:w="1099" w:type="pct"/>
            <w:tcMar>
              <w:top w:w="0" w:type="dxa"/>
              <w:left w:w="108" w:type="dxa"/>
              <w:bottom w:w="0" w:type="dxa"/>
              <w:right w:w="108" w:type="dxa"/>
            </w:tcMar>
            <w:vAlign w:val="center"/>
          </w:tcPr>
          <w:p w:rsidR="005B6E28" w:rsidRPr="00B51213" w:rsidRDefault="005B6E28" w:rsidP="005B6E28">
            <w:pPr>
              <w:spacing w:after="0" w:line="240" w:lineRule="auto"/>
              <w:jc w:val="right"/>
              <w:rPr>
                <w:rFonts w:eastAsiaTheme="minorHAnsi"/>
              </w:rPr>
            </w:pPr>
            <w:r>
              <w:rPr>
                <w:rFonts w:ascii="Calibri" w:hAnsi="Calibri"/>
                <w:color w:val="000000"/>
              </w:rPr>
              <w:t>1,737 (71%)</w:t>
            </w:r>
          </w:p>
        </w:tc>
        <w:tc>
          <w:tcPr>
            <w:tcW w:w="1414" w:type="pct"/>
            <w:vAlign w:val="center"/>
          </w:tcPr>
          <w:p w:rsidR="005B6E28" w:rsidRPr="00B51213" w:rsidRDefault="005B6E28" w:rsidP="005B6E28">
            <w:pPr>
              <w:spacing w:after="0" w:line="240" w:lineRule="auto"/>
              <w:ind w:firstLine="89"/>
              <w:jc w:val="right"/>
              <w:rPr>
                <w:color w:val="000000"/>
              </w:rPr>
            </w:pPr>
            <w:r w:rsidRPr="00B51213">
              <w:rPr>
                <w:color w:val="000000"/>
              </w:rPr>
              <w:t>678</w:t>
            </w:r>
            <w:r w:rsidR="005358C9">
              <w:rPr>
                <w:color w:val="000000"/>
              </w:rPr>
              <w:t xml:space="preserve"> </w:t>
            </w:r>
            <w:r w:rsidRPr="00B51213">
              <w:rPr>
                <w:color w:val="000000"/>
              </w:rPr>
              <w:t>(39%)</w:t>
            </w:r>
          </w:p>
        </w:tc>
      </w:tr>
      <w:tr w:rsidR="005B6E28" w:rsidRPr="00396A58" w:rsidTr="005B6E28">
        <w:trPr>
          <w:trHeight w:val="467"/>
        </w:trPr>
        <w:tc>
          <w:tcPr>
            <w:tcW w:w="1250" w:type="pct"/>
            <w:tcMar>
              <w:top w:w="0" w:type="dxa"/>
              <w:left w:w="108" w:type="dxa"/>
              <w:bottom w:w="0" w:type="dxa"/>
              <w:right w:w="108" w:type="dxa"/>
            </w:tcMar>
          </w:tcPr>
          <w:p w:rsidR="005B6E28" w:rsidRPr="00396A58" w:rsidRDefault="005B6E28" w:rsidP="005B6E28">
            <w:pPr>
              <w:spacing w:after="0"/>
              <w:rPr>
                <w:rFonts w:eastAsiaTheme="minorHAnsi"/>
                <w:b/>
              </w:rPr>
            </w:pPr>
            <w:r w:rsidRPr="00396A58">
              <w:rPr>
                <w:b/>
              </w:rPr>
              <w:t>REA 090</w:t>
            </w:r>
          </w:p>
        </w:tc>
        <w:tc>
          <w:tcPr>
            <w:tcW w:w="1237" w:type="pct"/>
            <w:tcMar>
              <w:top w:w="0" w:type="dxa"/>
              <w:left w:w="108" w:type="dxa"/>
              <w:bottom w:w="0" w:type="dxa"/>
              <w:right w:w="108" w:type="dxa"/>
            </w:tcMar>
            <w:vAlign w:val="center"/>
          </w:tcPr>
          <w:p w:rsidR="005B6E28" w:rsidRPr="00B51213" w:rsidRDefault="005B6E28" w:rsidP="005B6E28">
            <w:pPr>
              <w:spacing w:after="0" w:line="240" w:lineRule="auto"/>
              <w:jc w:val="right"/>
            </w:pPr>
            <w:r>
              <w:rPr>
                <w:rFonts w:ascii="Calibri" w:hAnsi="Calibri"/>
                <w:color w:val="000000"/>
              </w:rPr>
              <w:t>3,987</w:t>
            </w:r>
          </w:p>
        </w:tc>
        <w:tc>
          <w:tcPr>
            <w:tcW w:w="1099" w:type="pct"/>
            <w:tcMar>
              <w:top w:w="0" w:type="dxa"/>
              <w:left w:w="108" w:type="dxa"/>
              <w:bottom w:w="0" w:type="dxa"/>
              <w:right w:w="108" w:type="dxa"/>
            </w:tcMar>
            <w:vAlign w:val="center"/>
          </w:tcPr>
          <w:p w:rsidR="005B6E28" w:rsidRPr="00B51213" w:rsidRDefault="005B6E28" w:rsidP="005B6E28">
            <w:pPr>
              <w:spacing w:after="0" w:line="240" w:lineRule="auto"/>
              <w:jc w:val="right"/>
              <w:rPr>
                <w:rFonts w:eastAsiaTheme="minorHAnsi"/>
              </w:rPr>
            </w:pPr>
            <w:r>
              <w:rPr>
                <w:rFonts w:ascii="Calibri" w:hAnsi="Calibri"/>
                <w:color w:val="000000"/>
              </w:rPr>
              <w:t>2,721 (68%)</w:t>
            </w:r>
          </w:p>
        </w:tc>
        <w:tc>
          <w:tcPr>
            <w:tcW w:w="1414" w:type="pct"/>
            <w:vAlign w:val="center"/>
          </w:tcPr>
          <w:p w:rsidR="005B6E28" w:rsidRPr="00B51213" w:rsidRDefault="005B6E28" w:rsidP="005B6E28">
            <w:pPr>
              <w:spacing w:after="0" w:line="240" w:lineRule="auto"/>
              <w:ind w:firstLine="89"/>
              <w:jc w:val="right"/>
              <w:rPr>
                <w:color w:val="000000"/>
              </w:rPr>
            </w:pPr>
            <w:r w:rsidRPr="00B51213">
              <w:rPr>
                <w:color w:val="000000"/>
              </w:rPr>
              <w:t>1</w:t>
            </w:r>
            <w:r>
              <w:rPr>
                <w:color w:val="000000"/>
              </w:rPr>
              <w:t>,</w:t>
            </w:r>
            <w:r w:rsidRPr="00B51213">
              <w:rPr>
                <w:color w:val="000000"/>
              </w:rPr>
              <w:t>531 (56%)</w:t>
            </w:r>
          </w:p>
        </w:tc>
      </w:tr>
      <w:tr w:rsidR="005B6E28" w:rsidRPr="00396A58" w:rsidTr="005B6E28">
        <w:trPr>
          <w:trHeight w:val="467"/>
        </w:trPr>
        <w:tc>
          <w:tcPr>
            <w:tcW w:w="1250" w:type="pct"/>
            <w:tcMar>
              <w:top w:w="0" w:type="dxa"/>
              <w:left w:w="108" w:type="dxa"/>
              <w:bottom w:w="0" w:type="dxa"/>
              <w:right w:w="108" w:type="dxa"/>
            </w:tcMar>
          </w:tcPr>
          <w:p w:rsidR="005B6E28" w:rsidRPr="00396A58" w:rsidRDefault="005B6E28" w:rsidP="005B6E28">
            <w:pPr>
              <w:spacing w:after="0"/>
              <w:rPr>
                <w:b/>
              </w:rPr>
            </w:pPr>
            <w:r w:rsidRPr="00396A58">
              <w:rPr>
                <w:b/>
              </w:rPr>
              <w:t>All DE Language</w:t>
            </w:r>
            <w:r w:rsidRPr="00396A58">
              <w:rPr>
                <w:rStyle w:val="FootnoteReference"/>
                <w:b/>
              </w:rPr>
              <w:footnoteReference w:id="3"/>
            </w:r>
          </w:p>
        </w:tc>
        <w:tc>
          <w:tcPr>
            <w:tcW w:w="1237" w:type="pct"/>
            <w:tcMar>
              <w:top w:w="0" w:type="dxa"/>
              <w:left w:w="108" w:type="dxa"/>
              <w:bottom w:w="0" w:type="dxa"/>
              <w:right w:w="108" w:type="dxa"/>
            </w:tcMar>
            <w:vAlign w:val="center"/>
          </w:tcPr>
          <w:p w:rsidR="005B6E28" w:rsidRPr="00B51213" w:rsidRDefault="005B6E28" w:rsidP="005B6E28">
            <w:pPr>
              <w:spacing w:after="0" w:line="240" w:lineRule="auto"/>
              <w:jc w:val="right"/>
              <w:rPr>
                <w:color w:val="000000"/>
              </w:rPr>
            </w:pPr>
            <w:r w:rsidRPr="00183B19">
              <w:rPr>
                <w:color w:val="000000"/>
              </w:rPr>
              <w:t>13,406</w:t>
            </w:r>
          </w:p>
        </w:tc>
        <w:tc>
          <w:tcPr>
            <w:tcW w:w="1099" w:type="pct"/>
            <w:tcMar>
              <w:top w:w="0" w:type="dxa"/>
              <w:left w:w="108" w:type="dxa"/>
              <w:bottom w:w="0" w:type="dxa"/>
              <w:right w:w="108" w:type="dxa"/>
            </w:tcMar>
            <w:vAlign w:val="center"/>
          </w:tcPr>
          <w:p w:rsidR="005B6E28" w:rsidRPr="00B51213" w:rsidRDefault="005B6E28" w:rsidP="005B6E28">
            <w:pPr>
              <w:spacing w:after="0" w:line="240" w:lineRule="auto"/>
              <w:jc w:val="right"/>
              <w:rPr>
                <w:color w:val="000000"/>
              </w:rPr>
            </w:pPr>
            <w:r>
              <w:rPr>
                <w:rFonts w:ascii="Calibri" w:hAnsi="Calibri"/>
                <w:color w:val="000000"/>
              </w:rPr>
              <w:t>9,465 (71%)</w:t>
            </w:r>
          </w:p>
        </w:tc>
        <w:tc>
          <w:tcPr>
            <w:tcW w:w="1414" w:type="pct"/>
            <w:vAlign w:val="center"/>
          </w:tcPr>
          <w:p w:rsidR="005B6E28" w:rsidRPr="00B51213" w:rsidRDefault="005B6E28" w:rsidP="005B6E28">
            <w:pPr>
              <w:spacing w:after="0" w:line="240" w:lineRule="auto"/>
              <w:ind w:firstLine="89"/>
              <w:jc w:val="right"/>
              <w:rPr>
                <w:bCs/>
                <w:color w:val="000000"/>
              </w:rPr>
            </w:pPr>
            <w:r w:rsidRPr="00B51213">
              <w:rPr>
                <w:bCs/>
                <w:color w:val="000000"/>
              </w:rPr>
              <w:t>5</w:t>
            </w:r>
            <w:r>
              <w:rPr>
                <w:bCs/>
                <w:color w:val="000000"/>
              </w:rPr>
              <w:t>,</w:t>
            </w:r>
            <w:r w:rsidRPr="00B51213">
              <w:rPr>
                <w:bCs/>
                <w:color w:val="000000"/>
              </w:rPr>
              <w:t>051 (53%)</w:t>
            </w:r>
          </w:p>
        </w:tc>
      </w:tr>
    </w:tbl>
    <w:p w:rsidR="0080060B" w:rsidRPr="00396A58" w:rsidRDefault="0080060B" w:rsidP="0080060B">
      <w:pPr>
        <w:rPr>
          <w:b/>
        </w:rPr>
      </w:pPr>
    </w:p>
    <w:p w:rsidR="007F264F" w:rsidRDefault="007F264F" w:rsidP="00332AE2">
      <w:pPr>
        <w:rPr>
          <w:rFonts w:eastAsia="Times New Roman"/>
          <w:color w:val="1C1C19"/>
        </w:rPr>
      </w:pPr>
    </w:p>
    <w:p w:rsidR="007F264F" w:rsidRDefault="007F264F" w:rsidP="00332AE2">
      <w:pPr>
        <w:rPr>
          <w:rFonts w:eastAsia="Times New Roman"/>
          <w:color w:val="1C1C19"/>
        </w:rPr>
      </w:pPr>
    </w:p>
    <w:p w:rsidR="007F264F" w:rsidRDefault="007F264F" w:rsidP="00332AE2">
      <w:pPr>
        <w:rPr>
          <w:rFonts w:eastAsia="Times New Roman"/>
          <w:color w:val="1C1C19"/>
        </w:rPr>
      </w:pPr>
    </w:p>
    <w:p w:rsidR="007F264F" w:rsidRDefault="007F264F" w:rsidP="00332AE2">
      <w:pPr>
        <w:rPr>
          <w:rFonts w:eastAsia="Times New Roman"/>
          <w:color w:val="1C1C19"/>
        </w:rPr>
      </w:pPr>
    </w:p>
    <w:p w:rsidR="007F264F" w:rsidRDefault="007F264F" w:rsidP="00332AE2">
      <w:pPr>
        <w:rPr>
          <w:rFonts w:eastAsia="Times New Roman"/>
          <w:color w:val="1C1C19"/>
        </w:rPr>
      </w:pPr>
    </w:p>
    <w:p w:rsidR="007F264F" w:rsidRDefault="007F264F" w:rsidP="00332AE2">
      <w:pPr>
        <w:rPr>
          <w:rFonts w:eastAsia="Times New Roman"/>
          <w:color w:val="1C1C19"/>
        </w:rPr>
      </w:pPr>
    </w:p>
    <w:p w:rsidR="007F264F" w:rsidRDefault="007F264F" w:rsidP="00332AE2">
      <w:pPr>
        <w:rPr>
          <w:rFonts w:eastAsia="Times New Roman"/>
          <w:color w:val="1C1C19"/>
        </w:rPr>
      </w:pPr>
    </w:p>
    <w:p w:rsidR="007F264F" w:rsidRDefault="007F264F" w:rsidP="00332AE2">
      <w:pPr>
        <w:rPr>
          <w:rFonts w:eastAsia="Times New Roman"/>
          <w:color w:val="1C1C19"/>
        </w:rPr>
      </w:pPr>
    </w:p>
    <w:p w:rsidR="007F264F" w:rsidRDefault="007F264F" w:rsidP="00332AE2">
      <w:pPr>
        <w:rPr>
          <w:rFonts w:eastAsia="Times New Roman"/>
          <w:color w:val="1C1C19"/>
        </w:rPr>
      </w:pPr>
    </w:p>
    <w:p w:rsidR="00E50938" w:rsidRDefault="00E50938" w:rsidP="00332AE2">
      <w:pPr>
        <w:rPr>
          <w:rFonts w:eastAsia="Times New Roman"/>
          <w:color w:val="1C1C19"/>
        </w:rPr>
      </w:pPr>
      <w:r>
        <w:rPr>
          <w:rFonts w:eastAsia="Times New Roman"/>
          <w:color w:val="1C1C19"/>
        </w:rPr>
        <w:br w:type="page"/>
      </w:r>
    </w:p>
    <w:p w:rsidR="00F207D4" w:rsidRPr="00396A58" w:rsidRDefault="007A4334" w:rsidP="00332AE2">
      <w:r w:rsidRPr="00396A58">
        <w:rPr>
          <w:rFonts w:eastAsia="Times New Roman"/>
          <w:color w:val="1C1C19"/>
        </w:rPr>
        <w:lastRenderedPageBreak/>
        <w:t>The redesign replaced</w:t>
      </w:r>
      <w:r w:rsidR="00F207D4" w:rsidRPr="00396A58">
        <w:rPr>
          <w:rFonts w:eastAsia="Times New Roman"/>
          <w:color w:val="1C1C19"/>
        </w:rPr>
        <w:t xml:space="preserve"> the separate courses in </w:t>
      </w:r>
      <w:r w:rsidR="0052265A" w:rsidRPr="00396A58">
        <w:rPr>
          <w:rFonts w:eastAsia="Times New Roman"/>
          <w:color w:val="1C1C19"/>
        </w:rPr>
        <w:t>reading and writing</w:t>
      </w:r>
      <w:r w:rsidR="00F207D4" w:rsidRPr="00396A58">
        <w:rPr>
          <w:rFonts w:eastAsia="Times New Roman"/>
          <w:color w:val="1C1C19"/>
        </w:rPr>
        <w:t xml:space="preserve"> with integrated reading and writing course</w:t>
      </w:r>
      <w:r w:rsidR="00B44CF6" w:rsidRPr="00396A58">
        <w:rPr>
          <w:rFonts w:eastAsia="Times New Roman"/>
          <w:color w:val="1C1C19"/>
        </w:rPr>
        <w:t>s</w:t>
      </w:r>
      <w:r w:rsidR="00681E1C" w:rsidRPr="00396A58">
        <w:rPr>
          <w:rFonts w:eastAsia="Times New Roman"/>
          <w:color w:val="1C1C19"/>
        </w:rPr>
        <w:t>, College Composition and Reading (CCR)</w:t>
      </w:r>
      <w:r w:rsidR="00F207D4" w:rsidRPr="00396A58">
        <w:rPr>
          <w:rFonts w:eastAsia="Times New Roman"/>
          <w:color w:val="1C1C19"/>
        </w:rPr>
        <w:t xml:space="preserve">. </w:t>
      </w:r>
      <w:r w:rsidR="00681E1C" w:rsidRPr="00396A58">
        <w:rPr>
          <w:rFonts w:eastAsia="Times New Roman"/>
          <w:color w:val="1C1C19"/>
        </w:rPr>
        <w:t xml:space="preserve">In this model, students </w:t>
      </w:r>
      <w:r w:rsidRPr="00396A58">
        <w:rPr>
          <w:rFonts w:eastAsia="Times New Roman"/>
          <w:color w:val="1C1C19"/>
        </w:rPr>
        <w:t>can complete</w:t>
      </w:r>
      <w:r w:rsidR="00F207D4" w:rsidRPr="00396A58">
        <w:rPr>
          <w:rFonts w:eastAsia="Times New Roman"/>
          <w:color w:val="1C1C19"/>
        </w:rPr>
        <w:t xml:space="preserve"> their developmental course work in one course and in one semester. </w:t>
      </w:r>
      <w:r w:rsidR="00681E1C" w:rsidRPr="00396A58">
        <w:rPr>
          <w:rFonts w:eastAsia="Times New Roman"/>
          <w:color w:val="1C1C19"/>
        </w:rPr>
        <w:t xml:space="preserve"> </w:t>
      </w:r>
      <w:r w:rsidR="00F207D4" w:rsidRPr="00396A58">
        <w:rPr>
          <w:rFonts w:eastAsia="Times New Roman"/>
          <w:color w:val="1C1C19"/>
        </w:rPr>
        <w:t xml:space="preserve">Students have three options: </w:t>
      </w:r>
    </w:p>
    <w:p w:rsidR="00180072" w:rsidRPr="00396A58" w:rsidRDefault="00741BE2" w:rsidP="00180072">
      <w:pPr>
        <w:pStyle w:val="ListParagraph"/>
        <w:numPr>
          <w:ilvl w:val="0"/>
          <w:numId w:val="1"/>
        </w:numPr>
        <w:rPr>
          <w:rFonts w:eastAsia="Times New Roman"/>
          <w:color w:val="1C1C19"/>
        </w:rPr>
      </w:pPr>
      <w:r w:rsidRPr="00396A58">
        <w:rPr>
          <w:rFonts w:eastAsia="Times New Roman"/>
          <w:color w:val="1C1C19"/>
        </w:rPr>
        <w:t xml:space="preserve">A </w:t>
      </w:r>
      <w:r w:rsidR="00F207D4" w:rsidRPr="00396A58">
        <w:rPr>
          <w:rFonts w:eastAsia="Times New Roman"/>
          <w:color w:val="1C1C19"/>
        </w:rPr>
        <w:t>five</w:t>
      </w:r>
      <w:r w:rsidR="00E4125B" w:rsidRPr="00396A58">
        <w:rPr>
          <w:rFonts w:eastAsia="Times New Roman"/>
          <w:color w:val="1C1C19"/>
        </w:rPr>
        <w:t>-</w:t>
      </w:r>
      <w:r w:rsidR="00F207D4" w:rsidRPr="00396A58">
        <w:rPr>
          <w:rFonts w:eastAsia="Times New Roman"/>
          <w:color w:val="1C1C19"/>
        </w:rPr>
        <w:t>credit developmental course that integrates reading and writing</w:t>
      </w:r>
      <w:r w:rsidRPr="00396A58">
        <w:rPr>
          <w:rFonts w:eastAsia="Times New Roman"/>
          <w:color w:val="1C1C19"/>
        </w:rPr>
        <w:t xml:space="preserve"> (CCR 092).</w:t>
      </w:r>
    </w:p>
    <w:p w:rsidR="00180072" w:rsidRPr="00396A58" w:rsidRDefault="00741BE2" w:rsidP="00741BE2">
      <w:pPr>
        <w:pStyle w:val="ListParagraph"/>
        <w:numPr>
          <w:ilvl w:val="0"/>
          <w:numId w:val="1"/>
        </w:numPr>
        <w:rPr>
          <w:rFonts w:eastAsia="Times New Roman"/>
          <w:color w:val="1C1C19"/>
        </w:rPr>
      </w:pPr>
      <w:r w:rsidRPr="00396A58">
        <w:rPr>
          <w:rFonts w:eastAsia="Times New Roman"/>
          <w:color w:val="1C1C19"/>
        </w:rPr>
        <w:t>A</w:t>
      </w:r>
      <w:r w:rsidR="00F207D4" w:rsidRPr="00396A58">
        <w:rPr>
          <w:rFonts w:eastAsia="Times New Roman"/>
          <w:color w:val="1C1C19"/>
        </w:rPr>
        <w:t xml:space="preserve"> college</w:t>
      </w:r>
      <w:r w:rsidR="00E4125B" w:rsidRPr="00396A58">
        <w:rPr>
          <w:rFonts w:eastAsia="Times New Roman"/>
          <w:color w:val="1C1C19"/>
        </w:rPr>
        <w:t>-</w:t>
      </w:r>
      <w:r w:rsidR="00F207D4" w:rsidRPr="00396A58">
        <w:rPr>
          <w:rFonts w:eastAsia="Times New Roman"/>
          <w:color w:val="1C1C19"/>
        </w:rPr>
        <w:t>level d</w:t>
      </w:r>
      <w:r w:rsidRPr="00396A58">
        <w:rPr>
          <w:rFonts w:eastAsia="Times New Roman"/>
          <w:color w:val="1C1C19"/>
        </w:rPr>
        <w:t xml:space="preserve">iscipline </w:t>
      </w:r>
      <w:r w:rsidR="00BC6D53">
        <w:rPr>
          <w:rFonts w:eastAsia="Times New Roman"/>
          <w:color w:val="1C1C19"/>
        </w:rPr>
        <w:t>c</w:t>
      </w:r>
      <w:r w:rsidRPr="00396A58">
        <w:rPr>
          <w:rFonts w:eastAsia="Times New Roman"/>
          <w:color w:val="1C1C19"/>
        </w:rPr>
        <w:t xml:space="preserve">ourse plus a </w:t>
      </w:r>
      <w:r w:rsidR="00F207D4" w:rsidRPr="00396A58">
        <w:rPr>
          <w:rFonts w:eastAsia="Times New Roman"/>
          <w:color w:val="1C1C19"/>
        </w:rPr>
        <w:t>three</w:t>
      </w:r>
      <w:r w:rsidR="00E4125B" w:rsidRPr="00396A58">
        <w:rPr>
          <w:rFonts w:eastAsia="Times New Roman"/>
          <w:color w:val="1C1C19"/>
        </w:rPr>
        <w:t>-</w:t>
      </w:r>
      <w:r w:rsidR="00F207D4" w:rsidRPr="00396A58">
        <w:rPr>
          <w:rFonts w:eastAsia="Times New Roman"/>
          <w:color w:val="1C1C19"/>
        </w:rPr>
        <w:t>credit reading and writing co-requisite</w:t>
      </w:r>
      <w:r w:rsidRPr="00396A58">
        <w:rPr>
          <w:rFonts w:eastAsia="Times New Roman"/>
          <w:color w:val="1C1C19"/>
        </w:rPr>
        <w:t xml:space="preserve"> (CCR 093).</w:t>
      </w:r>
      <w:r w:rsidR="00C6256D" w:rsidRPr="00396A58">
        <w:rPr>
          <w:rFonts w:eastAsia="Times New Roman"/>
          <w:color w:val="1C1C19"/>
        </w:rPr>
        <w:t xml:space="preserve"> N</w:t>
      </w:r>
      <w:r w:rsidRPr="00396A58">
        <w:rPr>
          <w:rFonts w:eastAsia="Times New Roman"/>
          <w:color w:val="1C1C19"/>
        </w:rPr>
        <w:t>ot as many CCR 093 students enroll in and complete ENG 121</w:t>
      </w:r>
      <w:r w:rsidR="00C6256D" w:rsidRPr="00396A58">
        <w:rPr>
          <w:rFonts w:eastAsia="Times New Roman"/>
          <w:color w:val="1C1C19"/>
        </w:rPr>
        <w:t xml:space="preserve"> b</w:t>
      </w:r>
      <w:r w:rsidRPr="00396A58">
        <w:rPr>
          <w:rFonts w:eastAsia="Times New Roman"/>
          <w:color w:val="1C1C19"/>
        </w:rPr>
        <w:t>ecause the developmental course is paired with a college</w:t>
      </w:r>
      <w:r w:rsidR="00E4125B" w:rsidRPr="00396A58">
        <w:rPr>
          <w:rFonts w:eastAsia="Times New Roman"/>
          <w:color w:val="1C1C19"/>
        </w:rPr>
        <w:t>-</w:t>
      </w:r>
      <w:r w:rsidRPr="00396A58">
        <w:rPr>
          <w:rFonts w:eastAsia="Times New Roman"/>
          <w:color w:val="1C1C19"/>
        </w:rPr>
        <w:t>level course</w:t>
      </w:r>
      <w:r w:rsidR="00C6256D" w:rsidRPr="00396A58">
        <w:rPr>
          <w:rFonts w:eastAsia="Times New Roman"/>
          <w:color w:val="1C1C19"/>
        </w:rPr>
        <w:t xml:space="preserve"> that the college selects and not ENG 121. Due to the co-requisite nature of the course with a college</w:t>
      </w:r>
      <w:r w:rsidR="00E4125B" w:rsidRPr="00396A58">
        <w:rPr>
          <w:rFonts w:eastAsia="Times New Roman"/>
          <w:color w:val="1C1C19"/>
        </w:rPr>
        <w:t>-</w:t>
      </w:r>
      <w:r w:rsidR="00C6256D" w:rsidRPr="00396A58">
        <w:rPr>
          <w:rFonts w:eastAsia="Times New Roman"/>
          <w:color w:val="1C1C19"/>
        </w:rPr>
        <w:t>level course</w:t>
      </w:r>
      <w:r w:rsidR="00E4125B" w:rsidRPr="00396A58">
        <w:rPr>
          <w:rFonts w:eastAsia="Times New Roman"/>
          <w:color w:val="1C1C19"/>
        </w:rPr>
        <w:t>,</w:t>
      </w:r>
      <w:r w:rsidRPr="00396A58">
        <w:rPr>
          <w:rFonts w:eastAsia="Times New Roman"/>
          <w:color w:val="1C1C19"/>
        </w:rPr>
        <w:t xml:space="preserve"> it is </w:t>
      </w:r>
      <w:r w:rsidR="00C6256D" w:rsidRPr="00396A58">
        <w:rPr>
          <w:rFonts w:eastAsia="Times New Roman"/>
          <w:color w:val="1C1C19"/>
        </w:rPr>
        <w:t xml:space="preserve">considered </w:t>
      </w:r>
      <w:r w:rsidRPr="00396A58">
        <w:rPr>
          <w:rFonts w:eastAsia="Times New Roman"/>
          <w:color w:val="1C1C19"/>
        </w:rPr>
        <w:t>a supplemental academic instruction course.</w:t>
      </w:r>
    </w:p>
    <w:p w:rsidR="00681E1C" w:rsidRPr="00396A58" w:rsidRDefault="00741BE2" w:rsidP="00332AE2">
      <w:pPr>
        <w:pStyle w:val="ListParagraph"/>
        <w:numPr>
          <w:ilvl w:val="0"/>
          <w:numId w:val="1"/>
        </w:numPr>
        <w:rPr>
          <w:rFonts w:eastAsia="Times New Roman"/>
          <w:color w:val="1C1C19"/>
        </w:rPr>
      </w:pPr>
      <w:r w:rsidRPr="00396A58">
        <w:rPr>
          <w:rFonts w:eastAsia="Times New Roman"/>
          <w:color w:val="1C1C19"/>
        </w:rPr>
        <w:t>A</w:t>
      </w:r>
      <w:r w:rsidR="00F207D4" w:rsidRPr="00396A58">
        <w:rPr>
          <w:rFonts w:eastAsia="Times New Roman"/>
          <w:color w:val="1C1C19"/>
        </w:rPr>
        <w:t xml:space="preserve"> college</w:t>
      </w:r>
      <w:r w:rsidR="00E4125B" w:rsidRPr="00396A58">
        <w:rPr>
          <w:rFonts w:eastAsia="Times New Roman"/>
          <w:color w:val="1C1C19"/>
        </w:rPr>
        <w:t>-</w:t>
      </w:r>
      <w:r w:rsidR="00F207D4" w:rsidRPr="00396A58">
        <w:rPr>
          <w:rFonts w:eastAsia="Times New Roman"/>
          <w:color w:val="1C1C19"/>
        </w:rPr>
        <w:t xml:space="preserve">level </w:t>
      </w:r>
      <w:r w:rsidRPr="00396A58">
        <w:rPr>
          <w:rFonts w:eastAsia="Times New Roman"/>
          <w:color w:val="1C1C19"/>
        </w:rPr>
        <w:t xml:space="preserve">writing course (ENG 121) linked with a </w:t>
      </w:r>
      <w:r w:rsidR="00F207D4" w:rsidRPr="00396A58">
        <w:rPr>
          <w:rFonts w:eastAsia="Times New Roman"/>
          <w:color w:val="1C1C19"/>
        </w:rPr>
        <w:t>three</w:t>
      </w:r>
      <w:r w:rsidR="00E4125B" w:rsidRPr="00396A58">
        <w:rPr>
          <w:rFonts w:eastAsia="Times New Roman"/>
          <w:color w:val="1C1C19"/>
        </w:rPr>
        <w:t>-</w:t>
      </w:r>
      <w:r w:rsidR="00F207D4" w:rsidRPr="00396A58">
        <w:rPr>
          <w:rFonts w:eastAsia="Times New Roman"/>
          <w:color w:val="1C1C19"/>
        </w:rPr>
        <w:t>credit reading and writing co-requisite</w:t>
      </w:r>
      <w:r w:rsidRPr="00396A58">
        <w:rPr>
          <w:rFonts w:eastAsia="Times New Roman"/>
          <w:color w:val="1C1C19"/>
        </w:rPr>
        <w:t xml:space="preserve"> (CCR 094). Because the developmental course is paired with a college</w:t>
      </w:r>
      <w:r w:rsidR="00E4125B" w:rsidRPr="00396A58">
        <w:rPr>
          <w:rFonts w:eastAsia="Times New Roman"/>
          <w:color w:val="1C1C19"/>
        </w:rPr>
        <w:t>-</w:t>
      </w:r>
      <w:r w:rsidRPr="00396A58">
        <w:rPr>
          <w:rFonts w:eastAsia="Times New Roman"/>
          <w:color w:val="1C1C19"/>
        </w:rPr>
        <w:t xml:space="preserve">level course, </w:t>
      </w:r>
      <w:r w:rsidR="00C6256D" w:rsidRPr="00396A58">
        <w:rPr>
          <w:rFonts w:eastAsia="Times New Roman"/>
          <w:color w:val="1C1C19"/>
        </w:rPr>
        <w:t>this</w:t>
      </w:r>
      <w:r w:rsidRPr="00396A58">
        <w:rPr>
          <w:rFonts w:eastAsia="Times New Roman"/>
          <w:color w:val="1C1C19"/>
        </w:rPr>
        <w:t xml:space="preserve"> is a</w:t>
      </w:r>
      <w:r w:rsidR="00C6256D" w:rsidRPr="00396A58">
        <w:rPr>
          <w:rFonts w:eastAsia="Times New Roman"/>
          <w:color w:val="1C1C19"/>
        </w:rPr>
        <w:t>lso considered a</w:t>
      </w:r>
      <w:r w:rsidRPr="00396A58">
        <w:rPr>
          <w:rFonts w:eastAsia="Times New Roman"/>
          <w:color w:val="1C1C19"/>
        </w:rPr>
        <w:t xml:space="preserve"> supplemental academic instruction course.</w:t>
      </w:r>
    </w:p>
    <w:p w:rsidR="00681E1C" w:rsidRPr="00396A58" w:rsidRDefault="00681E1C" w:rsidP="00332AE2">
      <w:r w:rsidRPr="00396A58">
        <w:t xml:space="preserve">Colleges </w:t>
      </w:r>
      <w:r w:rsidR="00BC6D53">
        <w:t>have the option to</w:t>
      </w:r>
      <w:r w:rsidRPr="00396A58">
        <w:t xml:space="preserve"> offer a one</w:t>
      </w:r>
      <w:r w:rsidR="00E4125B" w:rsidRPr="00396A58">
        <w:t>-</w:t>
      </w:r>
      <w:r w:rsidRPr="00396A58">
        <w:t xml:space="preserve">credit lab, CCR 091, for </w:t>
      </w:r>
      <w:r w:rsidR="007A4334" w:rsidRPr="00396A58">
        <w:t>students whose placement scores are</w:t>
      </w:r>
      <w:r w:rsidR="00C6256D" w:rsidRPr="00396A58">
        <w:t xml:space="preserve"> lower than the score</w:t>
      </w:r>
      <w:r w:rsidRPr="00396A58">
        <w:t xml:space="preserve"> needed </w:t>
      </w:r>
      <w:r w:rsidR="007A4334" w:rsidRPr="00396A58">
        <w:t>to enroll</w:t>
      </w:r>
      <w:r w:rsidRPr="00396A58">
        <w:t xml:space="preserve"> in CCR 092. Those students must take CCR 091 concurrently with CCR 092.</w:t>
      </w:r>
    </w:p>
    <w:p w:rsidR="00823F72" w:rsidRPr="00396A58" w:rsidRDefault="00823F72" w:rsidP="00823F72">
      <w:r w:rsidRPr="00396A58">
        <w:rPr>
          <w:b/>
        </w:rPr>
        <w:t xml:space="preserve">Table </w:t>
      </w:r>
      <w:r w:rsidR="006F2950">
        <w:rPr>
          <w:b/>
        </w:rPr>
        <w:t>8</w:t>
      </w:r>
      <w:r w:rsidRPr="00396A58">
        <w:rPr>
          <w:b/>
        </w:rPr>
        <w:t xml:space="preserve"> </w:t>
      </w:r>
      <w:r w:rsidRPr="00396A58">
        <w:t>reports on the students who enrolled in CCR courses in AY</w:t>
      </w:r>
      <w:r w:rsidR="00BC6D53">
        <w:t>20</w:t>
      </w:r>
      <w:r w:rsidRPr="00396A58">
        <w:t>14-</w:t>
      </w:r>
      <w:r w:rsidR="00BC6D53">
        <w:t>20</w:t>
      </w:r>
      <w:r w:rsidRPr="00396A58">
        <w:t xml:space="preserve">15. In addition to showing the number and percentage of students who were successful in the CCR developmental course, it shows how many of these students enrolled in the college writing course (ENG 121) and how many successfully completed the course by the end of summer 2015. </w:t>
      </w:r>
      <w:r w:rsidRPr="00396A58">
        <w:rPr>
          <w:b/>
        </w:rPr>
        <w:t xml:space="preserve">Table </w:t>
      </w:r>
      <w:r w:rsidR="006F2950">
        <w:rPr>
          <w:b/>
        </w:rPr>
        <w:t>9</w:t>
      </w:r>
      <w:r w:rsidRPr="00396A58">
        <w:rPr>
          <w:b/>
        </w:rPr>
        <w:t xml:space="preserve"> </w:t>
      </w:r>
      <w:r w:rsidR="00E73DAA" w:rsidRPr="00E73DAA">
        <w:t>(next page)</w:t>
      </w:r>
      <w:r w:rsidR="00E73DAA">
        <w:rPr>
          <w:b/>
        </w:rPr>
        <w:t xml:space="preserve"> </w:t>
      </w:r>
      <w:r w:rsidRPr="00396A58">
        <w:t>covers a similar time-frame, but reports completion rates for students in gtPathways courses.</w:t>
      </w:r>
    </w:p>
    <w:p w:rsidR="003E7FD3" w:rsidRPr="00396A58" w:rsidRDefault="00455A6B" w:rsidP="0045223A">
      <w:pPr>
        <w:spacing w:after="0"/>
        <w:rPr>
          <w:b/>
        </w:rPr>
      </w:pPr>
      <w:r w:rsidRPr="00396A58">
        <w:rPr>
          <w:b/>
        </w:rPr>
        <w:t xml:space="preserve">Table </w:t>
      </w:r>
      <w:r w:rsidR="006F2950">
        <w:rPr>
          <w:b/>
        </w:rPr>
        <w:t>8</w:t>
      </w:r>
      <w:r w:rsidR="008F730E" w:rsidRPr="00396A58">
        <w:rPr>
          <w:b/>
        </w:rPr>
        <w:t>.</w:t>
      </w:r>
      <w:r w:rsidRPr="00396A58">
        <w:rPr>
          <w:b/>
        </w:rPr>
        <w:t xml:space="preserve"> </w:t>
      </w:r>
      <w:r w:rsidR="00601159" w:rsidRPr="00396A58">
        <w:rPr>
          <w:b/>
        </w:rPr>
        <w:t xml:space="preserve"> </w:t>
      </w:r>
      <w:r w:rsidRPr="00396A58">
        <w:rPr>
          <w:b/>
        </w:rPr>
        <w:t xml:space="preserve">Completion of </w:t>
      </w:r>
      <w:r w:rsidR="00E43C87" w:rsidRPr="00396A58">
        <w:rPr>
          <w:b/>
        </w:rPr>
        <w:t xml:space="preserve">a </w:t>
      </w:r>
      <w:r w:rsidRPr="00396A58">
        <w:rPr>
          <w:b/>
        </w:rPr>
        <w:t>Co</w:t>
      </w:r>
      <w:r w:rsidR="000C7DA7" w:rsidRPr="00396A58">
        <w:rPr>
          <w:b/>
        </w:rPr>
        <w:t>llege-</w:t>
      </w:r>
      <w:r w:rsidR="00E43C87" w:rsidRPr="00396A58">
        <w:rPr>
          <w:b/>
        </w:rPr>
        <w:t>Level English Course (ENG 121)</w:t>
      </w:r>
      <w:r w:rsidR="00A4273D" w:rsidRPr="00396A58">
        <w:rPr>
          <w:b/>
        </w:rPr>
        <w:t xml:space="preserve"> </w:t>
      </w:r>
      <w:r w:rsidR="00FE1126" w:rsidRPr="00396A58">
        <w:rPr>
          <w:b/>
        </w:rPr>
        <w:t>by Summer 2015</w:t>
      </w:r>
      <w:r w:rsidR="00FA4241" w:rsidRPr="00396A58">
        <w:rPr>
          <w:b/>
        </w:rPr>
        <w:t xml:space="preserve"> for </w:t>
      </w:r>
      <w:r w:rsidR="00E43C87" w:rsidRPr="00396A58">
        <w:rPr>
          <w:b/>
        </w:rPr>
        <w:t>Students E</w:t>
      </w:r>
      <w:r w:rsidRPr="00396A58">
        <w:rPr>
          <w:b/>
        </w:rPr>
        <w:t xml:space="preserve">nrolled in </w:t>
      </w:r>
      <w:r w:rsidR="00A83A2A" w:rsidRPr="00396A58">
        <w:rPr>
          <w:b/>
        </w:rPr>
        <w:t xml:space="preserve">College </w:t>
      </w:r>
      <w:r w:rsidRPr="00396A58">
        <w:rPr>
          <w:b/>
        </w:rPr>
        <w:t>C</w:t>
      </w:r>
      <w:r w:rsidR="00A83A2A" w:rsidRPr="00396A58">
        <w:rPr>
          <w:b/>
        </w:rPr>
        <w:t xml:space="preserve">omposition and </w:t>
      </w:r>
      <w:r w:rsidRPr="00396A58">
        <w:rPr>
          <w:b/>
        </w:rPr>
        <w:t>R</w:t>
      </w:r>
      <w:r w:rsidR="00A83A2A" w:rsidRPr="00396A58">
        <w:rPr>
          <w:b/>
        </w:rPr>
        <w:t>eading (CCR)</w:t>
      </w:r>
      <w:r w:rsidR="00601159" w:rsidRPr="00396A58">
        <w:rPr>
          <w:b/>
        </w:rPr>
        <w:t xml:space="preserve"> Courses </w:t>
      </w:r>
      <w:r w:rsidR="002C69EA" w:rsidRPr="00396A58">
        <w:rPr>
          <w:b/>
        </w:rPr>
        <w:t>in 2014-2015.</w:t>
      </w:r>
      <w:r w:rsidR="00E43C87" w:rsidRPr="00396A58">
        <w:rPr>
          <w:b/>
        </w:rPr>
        <w:t xml:space="preserve"> </w:t>
      </w:r>
    </w:p>
    <w:tbl>
      <w:tblPr>
        <w:tblpPr w:leftFromText="180" w:rightFromText="180" w:bottomFromText="155" w:vertAnchor="text"/>
        <w:tblW w:w="3891"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79"/>
        <w:gridCol w:w="1919"/>
        <w:gridCol w:w="1656"/>
        <w:gridCol w:w="2294"/>
      </w:tblGrid>
      <w:tr w:rsidR="007F264F" w:rsidRPr="00396A58" w:rsidTr="005666D8">
        <w:trPr>
          <w:trHeight w:val="1354"/>
        </w:trPr>
        <w:tc>
          <w:tcPr>
            <w:tcW w:w="1354" w:type="pct"/>
            <w:tcMar>
              <w:top w:w="0" w:type="dxa"/>
              <w:left w:w="108" w:type="dxa"/>
              <w:bottom w:w="0" w:type="dxa"/>
              <w:right w:w="108" w:type="dxa"/>
            </w:tcMar>
            <w:hideMark/>
          </w:tcPr>
          <w:p w:rsidR="007F264F" w:rsidRPr="00396A58" w:rsidRDefault="007F264F" w:rsidP="00180072">
            <w:pPr>
              <w:rPr>
                <w:rFonts w:eastAsiaTheme="minorHAnsi"/>
                <w:b/>
                <w:bCs/>
              </w:rPr>
            </w:pPr>
            <w:r w:rsidRPr="00396A58">
              <w:rPr>
                <w:b/>
                <w:bCs/>
              </w:rPr>
              <w:t xml:space="preserve">Course  </w:t>
            </w:r>
          </w:p>
        </w:tc>
        <w:tc>
          <w:tcPr>
            <w:tcW w:w="1192" w:type="pct"/>
            <w:tcMar>
              <w:top w:w="0" w:type="dxa"/>
              <w:left w:w="108" w:type="dxa"/>
              <w:bottom w:w="0" w:type="dxa"/>
              <w:right w:w="108" w:type="dxa"/>
            </w:tcMar>
            <w:hideMark/>
          </w:tcPr>
          <w:p w:rsidR="007F264F" w:rsidRPr="00396A58" w:rsidRDefault="007F264F" w:rsidP="00BF5ED3">
            <w:pPr>
              <w:rPr>
                <w:rFonts w:eastAsiaTheme="minorHAnsi"/>
                <w:b/>
                <w:bCs/>
              </w:rPr>
            </w:pPr>
            <w:r w:rsidRPr="00396A58">
              <w:rPr>
                <w:b/>
                <w:bCs/>
              </w:rPr>
              <w:t xml:space="preserve">Students enrolled in </w:t>
            </w:r>
            <w:r w:rsidR="00E50938">
              <w:rPr>
                <w:b/>
                <w:bCs/>
              </w:rPr>
              <w:t xml:space="preserve">developmental </w:t>
            </w:r>
            <w:r w:rsidRPr="00396A58">
              <w:rPr>
                <w:b/>
                <w:bCs/>
              </w:rPr>
              <w:t>course</w:t>
            </w:r>
          </w:p>
        </w:tc>
        <w:tc>
          <w:tcPr>
            <w:tcW w:w="1029" w:type="pct"/>
            <w:tcMar>
              <w:top w:w="0" w:type="dxa"/>
              <w:left w:w="108" w:type="dxa"/>
              <w:bottom w:w="0" w:type="dxa"/>
              <w:right w:w="108" w:type="dxa"/>
            </w:tcMar>
            <w:hideMark/>
          </w:tcPr>
          <w:p w:rsidR="007F264F" w:rsidRPr="00396A58" w:rsidRDefault="007F264F" w:rsidP="00180072">
            <w:pPr>
              <w:rPr>
                <w:rFonts w:eastAsiaTheme="minorHAnsi"/>
                <w:b/>
                <w:bCs/>
              </w:rPr>
            </w:pPr>
            <w:r w:rsidRPr="00396A58">
              <w:rPr>
                <w:b/>
                <w:bCs/>
              </w:rPr>
              <w:t xml:space="preserve">…successfully completed the course </w:t>
            </w:r>
          </w:p>
        </w:tc>
        <w:tc>
          <w:tcPr>
            <w:tcW w:w="1425" w:type="pct"/>
          </w:tcPr>
          <w:p w:rsidR="007F264F" w:rsidRPr="00396A58" w:rsidRDefault="007F264F" w:rsidP="00FA605F">
            <w:pPr>
              <w:spacing w:after="0"/>
              <w:rPr>
                <w:b/>
                <w:bCs/>
              </w:rPr>
            </w:pPr>
            <w:r w:rsidRPr="00396A58">
              <w:rPr>
                <w:b/>
                <w:bCs/>
              </w:rPr>
              <w:t xml:space="preserve">…successfully completed  college composition </w:t>
            </w:r>
          </w:p>
          <w:p w:rsidR="007F264F" w:rsidRPr="00396A58" w:rsidRDefault="007F264F" w:rsidP="00FA605F">
            <w:pPr>
              <w:spacing w:after="0"/>
              <w:rPr>
                <w:b/>
                <w:bCs/>
              </w:rPr>
            </w:pPr>
            <w:r w:rsidRPr="00396A58">
              <w:rPr>
                <w:b/>
                <w:bCs/>
              </w:rPr>
              <w:t>ENG 121 by  Summer 2015</w:t>
            </w:r>
          </w:p>
        </w:tc>
      </w:tr>
      <w:tr w:rsidR="005B6E28" w:rsidRPr="00396A58" w:rsidTr="005B6E28">
        <w:trPr>
          <w:trHeight w:val="423"/>
        </w:trPr>
        <w:tc>
          <w:tcPr>
            <w:tcW w:w="1354" w:type="pct"/>
            <w:tcMar>
              <w:top w:w="0" w:type="dxa"/>
              <w:left w:w="108" w:type="dxa"/>
              <w:bottom w:w="0" w:type="dxa"/>
              <w:right w:w="108" w:type="dxa"/>
            </w:tcMar>
          </w:tcPr>
          <w:p w:rsidR="005B6E28" w:rsidRPr="00396A58" w:rsidRDefault="005B6E28" w:rsidP="00851E93">
            <w:pPr>
              <w:spacing w:after="0"/>
              <w:rPr>
                <w:b/>
              </w:rPr>
            </w:pPr>
            <w:r w:rsidRPr="00396A58">
              <w:rPr>
                <w:b/>
              </w:rPr>
              <w:t>CCR 091</w:t>
            </w:r>
          </w:p>
          <w:p w:rsidR="005B6E28" w:rsidRPr="00396A58" w:rsidRDefault="005B6E28" w:rsidP="00851E93">
            <w:pPr>
              <w:spacing w:after="0"/>
              <w:rPr>
                <w:b/>
              </w:rPr>
            </w:pPr>
            <w:r w:rsidRPr="00396A58">
              <w:rPr>
                <w:b/>
              </w:rPr>
              <w:t>(with CCR 092)</w:t>
            </w:r>
          </w:p>
        </w:tc>
        <w:tc>
          <w:tcPr>
            <w:tcW w:w="1192" w:type="pct"/>
            <w:tcMar>
              <w:top w:w="0" w:type="dxa"/>
              <w:left w:w="108" w:type="dxa"/>
              <w:bottom w:w="0" w:type="dxa"/>
              <w:right w:w="108" w:type="dxa"/>
            </w:tcMar>
            <w:vAlign w:val="center"/>
          </w:tcPr>
          <w:p w:rsidR="005B6E28" w:rsidRPr="005666D8" w:rsidRDefault="005B6E28" w:rsidP="005B6E28">
            <w:pPr>
              <w:spacing w:after="0"/>
              <w:jc w:val="right"/>
              <w:rPr>
                <w:rFonts w:eastAsiaTheme="minorHAnsi"/>
              </w:rPr>
            </w:pPr>
            <w:r>
              <w:rPr>
                <w:rFonts w:ascii="Calibri" w:hAnsi="Calibri"/>
                <w:color w:val="000000"/>
              </w:rPr>
              <w:t>152</w:t>
            </w:r>
          </w:p>
        </w:tc>
        <w:tc>
          <w:tcPr>
            <w:tcW w:w="1029" w:type="pct"/>
            <w:tcMar>
              <w:top w:w="0" w:type="dxa"/>
              <w:left w:w="108" w:type="dxa"/>
              <w:bottom w:w="0" w:type="dxa"/>
              <w:right w:w="108" w:type="dxa"/>
            </w:tcMar>
            <w:vAlign w:val="center"/>
          </w:tcPr>
          <w:p w:rsidR="005B6E28" w:rsidRPr="005666D8" w:rsidRDefault="005B6E28" w:rsidP="005B6E28">
            <w:pPr>
              <w:spacing w:after="0"/>
              <w:jc w:val="right"/>
              <w:rPr>
                <w:rFonts w:eastAsiaTheme="minorHAnsi"/>
              </w:rPr>
            </w:pPr>
            <w:r>
              <w:rPr>
                <w:rFonts w:ascii="Calibri" w:hAnsi="Calibri"/>
                <w:color w:val="000000"/>
              </w:rPr>
              <w:t>105 (69%)</w:t>
            </w:r>
          </w:p>
        </w:tc>
        <w:tc>
          <w:tcPr>
            <w:tcW w:w="1425" w:type="pct"/>
            <w:vAlign w:val="center"/>
          </w:tcPr>
          <w:p w:rsidR="005B6E28" w:rsidRPr="005666D8" w:rsidRDefault="005B6E28" w:rsidP="005B6E28">
            <w:pPr>
              <w:spacing w:after="0"/>
              <w:ind w:left="114"/>
              <w:jc w:val="right"/>
              <w:rPr>
                <w:color w:val="000000"/>
              </w:rPr>
            </w:pPr>
            <w:r w:rsidRPr="005666D8">
              <w:rPr>
                <w:color w:val="000000"/>
              </w:rPr>
              <w:t>32</w:t>
            </w:r>
            <w:r>
              <w:rPr>
                <w:color w:val="000000"/>
              </w:rPr>
              <w:t xml:space="preserve"> (30%)</w:t>
            </w:r>
          </w:p>
        </w:tc>
      </w:tr>
      <w:tr w:rsidR="005B6E28" w:rsidRPr="00396A58" w:rsidTr="005B6E28">
        <w:trPr>
          <w:trHeight w:val="476"/>
        </w:trPr>
        <w:tc>
          <w:tcPr>
            <w:tcW w:w="1354" w:type="pct"/>
            <w:tcMar>
              <w:top w:w="0" w:type="dxa"/>
              <w:left w:w="108" w:type="dxa"/>
              <w:bottom w:w="0" w:type="dxa"/>
              <w:right w:w="108" w:type="dxa"/>
            </w:tcMar>
          </w:tcPr>
          <w:p w:rsidR="005B6E28" w:rsidRPr="00396A58" w:rsidRDefault="005B6E28" w:rsidP="00851E93">
            <w:pPr>
              <w:spacing w:after="0"/>
              <w:rPr>
                <w:b/>
              </w:rPr>
            </w:pPr>
            <w:r w:rsidRPr="00396A58">
              <w:rPr>
                <w:b/>
              </w:rPr>
              <w:t>CCR 092</w:t>
            </w:r>
          </w:p>
          <w:p w:rsidR="005B6E28" w:rsidRPr="00396A58" w:rsidRDefault="005B6E28" w:rsidP="00851E93">
            <w:pPr>
              <w:spacing w:after="0"/>
              <w:rPr>
                <w:rFonts w:eastAsiaTheme="minorHAnsi"/>
                <w:b/>
              </w:rPr>
            </w:pPr>
            <w:r w:rsidRPr="00396A58">
              <w:rPr>
                <w:b/>
              </w:rPr>
              <w:t>(no CCR 091)</w:t>
            </w:r>
          </w:p>
        </w:tc>
        <w:tc>
          <w:tcPr>
            <w:tcW w:w="1192" w:type="pct"/>
            <w:tcMar>
              <w:top w:w="0" w:type="dxa"/>
              <w:left w:w="108" w:type="dxa"/>
              <w:bottom w:w="0" w:type="dxa"/>
              <w:right w:w="108" w:type="dxa"/>
            </w:tcMar>
            <w:vAlign w:val="center"/>
          </w:tcPr>
          <w:p w:rsidR="005B6E28" w:rsidRPr="005666D8" w:rsidRDefault="005B6E28" w:rsidP="005B6E28">
            <w:pPr>
              <w:jc w:val="right"/>
              <w:rPr>
                <w:rFonts w:cs="Tahoma"/>
                <w:color w:val="000000"/>
              </w:rPr>
            </w:pPr>
            <w:r>
              <w:rPr>
                <w:rFonts w:ascii="Calibri" w:hAnsi="Calibri"/>
                <w:color w:val="000000"/>
              </w:rPr>
              <w:t>5,029</w:t>
            </w:r>
          </w:p>
        </w:tc>
        <w:tc>
          <w:tcPr>
            <w:tcW w:w="1029" w:type="pct"/>
            <w:tcMar>
              <w:top w:w="0" w:type="dxa"/>
              <w:left w:w="108" w:type="dxa"/>
              <w:bottom w:w="0" w:type="dxa"/>
              <w:right w:w="108" w:type="dxa"/>
            </w:tcMar>
            <w:vAlign w:val="center"/>
          </w:tcPr>
          <w:p w:rsidR="005B6E28" w:rsidRPr="005666D8" w:rsidRDefault="005B6E28" w:rsidP="005B6E28">
            <w:pPr>
              <w:jc w:val="right"/>
              <w:rPr>
                <w:rFonts w:cs="Tahoma"/>
                <w:color w:val="000000"/>
              </w:rPr>
            </w:pPr>
            <w:r>
              <w:rPr>
                <w:rFonts w:ascii="Calibri" w:hAnsi="Calibri"/>
                <w:color w:val="000000"/>
              </w:rPr>
              <w:t>3,316 (66%)</w:t>
            </w:r>
          </w:p>
        </w:tc>
        <w:tc>
          <w:tcPr>
            <w:tcW w:w="1425" w:type="pct"/>
            <w:vAlign w:val="center"/>
          </w:tcPr>
          <w:p w:rsidR="005B6E28" w:rsidRPr="005666D8" w:rsidRDefault="005B6E28" w:rsidP="005B6E28">
            <w:pPr>
              <w:ind w:left="114"/>
              <w:jc w:val="right"/>
              <w:rPr>
                <w:rFonts w:cs="Tahoma"/>
                <w:color w:val="000000"/>
              </w:rPr>
            </w:pPr>
            <w:r w:rsidRPr="005666D8">
              <w:rPr>
                <w:rFonts w:cs="Tahoma"/>
                <w:color w:val="000000"/>
              </w:rPr>
              <w:t>1,016</w:t>
            </w:r>
            <w:r>
              <w:rPr>
                <w:rFonts w:cs="Tahoma"/>
                <w:color w:val="000000"/>
              </w:rPr>
              <w:t xml:space="preserve"> (31%)</w:t>
            </w:r>
          </w:p>
        </w:tc>
      </w:tr>
      <w:tr w:rsidR="005B6E28" w:rsidRPr="00396A58" w:rsidTr="005B6E28">
        <w:trPr>
          <w:trHeight w:val="476"/>
        </w:trPr>
        <w:tc>
          <w:tcPr>
            <w:tcW w:w="1354" w:type="pct"/>
            <w:tcMar>
              <w:top w:w="0" w:type="dxa"/>
              <w:left w:w="108" w:type="dxa"/>
              <w:bottom w:w="0" w:type="dxa"/>
              <w:right w:w="108" w:type="dxa"/>
            </w:tcMar>
          </w:tcPr>
          <w:p w:rsidR="005B6E28" w:rsidRPr="00396A58" w:rsidRDefault="005B6E28" w:rsidP="000A74C8">
            <w:pPr>
              <w:spacing w:after="0"/>
              <w:rPr>
                <w:rFonts w:eastAsiaTheme="minorHAnsi"/>
                <w:b/>
              </w:rPr>
            </w:pPr>
            <w:r w:rsidRPr="00396A58">
              <w:rPr>
                <w:b/>
              </w:rPr>
              <w:t>CCR 093</w:t>
            </w:r>
          </w:p>
        </w:tc>
        <w:tc>
          <w:tcPr>
            <w:tcW w:w="1192" w:type="pct"/>
            <w:tcMar>
              <w:top w:w="0" w:type="dxa"/>
              <w:left w:w="108" w:type="dxa"/>
              <w:bottom w:w="0" w:type="dxa"/>
              <w:right w:w="108" w:type="dxa"/>
            </w:tcMar>
            <w:vAlign w:val="center"/>
          </w:tcPr>
          <w:p w:rsidR="005B6E28" w:rsidRPr="005666D8" w:rsidRDefault="005B6E28" w:rsidP="005B6E28">
            <w:pPr>
              <w:spacing w:after="0"/>
              <w:jc w:val="right"/>
              <w:rPr>
                <w:rFonts w:eastAsiaTheme="minorHAnsi"/>
              </w:rPr>
            </w:pPr>
            <w:r>
              <w:rPr>
                <w:rFonts w:ascii="Calibri" w:hAnsi="Calibri"/>
                <w:color w:val="000000"/>
              </w:rPr>
              <w:t>812</w:t>
            </w:r>
          </w:p>
        </w:tc>
        <w:tc>
          <w:tcPr>
            <w:tcW w:w="1029" w:type="pct"/>
            <w:tcMar>
              <w:top w:w="0" w:type="dxa"/>
              <w:left w:w="108" w:type="dxa"/>
              <w:bottom w:w="0" w:type="dxa"/>
              <w:right w:w="108" w:type="dxa"/>
            </w:tcMar>
            <w:vAlign w:val="center"/>
          </w:tcPr>
          <w:p w:rsidR="005B6E28" w:rsidRPr="005666D8" w:rsidRDefault="005B6E28" w:rsidP="005B6E28">
            <w:pPr>
              <w:spacing w:after="0"/>
              <w:jc w:val="right"/>
              <w:rPr>
                <w:rFonts w:eastAsiaTheme="minorHAnsi"/>
              </w:rPr>
            </w:pPr>
            <w:r>
              <w:rPr>
                <w:rFonts w:ascii="Calibri" w:hAnsi="Calibri"/>
                <w:color w:val="000000"/>
              </w:rPr>
              <w:t>499 (61%)</w:t>
            </w:r>
          </w:p>
        </w:tc>
        <w:tc>
          <w:tcPr>
            <w:tcW w:w="1425" w:type="pct"/>
            <w:vAlign w:val="center"/>
          </w:tcPr>
          <w:p w:rsidR="005B6E28" w:rsidRPr="005666D8" w:rsidRDefault="005B6E28" w:rsidP="005B6E28">
            <w:pPr>
              <w:spacing w:after="0"/>
              <w:ind w:left="114"/>
              <w:jc w:val="right"/>
              <w:rPr>
                <w:color w:val="000000"/>
              </w:rPr>
            </w:pPr>
            <w:r w:rsidRPr="005666D8">
              <w:rPr>
                <w:color w:val="000000"/>
              </w:rPr>
              <w:t>155</w:t>
            </w:r>
            <w:r>
              <w:rPr>
                <w:color w:val="000000"/>
              </w:rPr>
              <w:t xml:space="preserve"> (31%)</w:t>
            </w:r>
          </w:p>
        </w:tc>
      </w:tr>
      <w:tr w:rsidR="005B6E28" w:rsidRPr="00396A58" w:rsidTr="005B6E28">
        <w:trPr>
          <w:trHeight w:val="476"/>
        </w:trPr>
        <w:tc>
          <w:tcPr>
            <w:tcW w:w="1354" w:type="pct"/>
            <w:tcMar>
              <w:top w:w="0" w:type="dxa"/>
              <w:left w:w="108" w:type="dxa"/>
              <w:bottom w:w="0" w:type="dxa"/>
              <w:right w:w="108" w:type="dxa"/>
            </w:tcMar>
          </w:tcPr>
          <w:p w:rsidR="005B6E28" w:rsidRPr="00396A58" w:rsidRDefault="005B6E28" w:rsidP="000A74C8">
            <w:pPr>
              <w:rPr>
                <w:rFonts w:eastAsiaTheme="minorHAnsi"/>
                <w:b/>
              </w:rPr>
            </w:pPr>
            <w:r w:rsidRPr="00396A58">
              <w:rPr>
                <w:b/>
              </w:rPr>
              <w:t>CCR 094</w:t>
            </w:r>
          </w:p>
        </w:tc>
        <w:tc>
          <w:tcPr>
            <w:tcW w:w="1192" w:type="pct"/>
            <w:tcMar>
              <w:top w:w="0" w:type="dxa"/>
              <w:left w:w="108" w:type="dxa"/>
              <w:bottom w:w="0" w:type="dxa"/>
              <w:right w:w="108" w:type="dxa"/>
            </w:tcMar>
            <w:vAlign w:val="center"/>
          </w:tcPr>
          <w:p w:rsidR="005B6E28" w:rsidRPr="005666D8" w:rsidRDefault="005B6E28" w:rsidP="005B6E28">
            <w:pPr>
              <w:jc w:val="right"/>
              <w:rPr>
                <w:rFonts w:eastAsiaTheme="minorHAnsi"/>
              </w:rPr>
            </w:pPr>
            <w:r>
              <w:rPr>
                <w:rFonts w:ascii="Calibri" w:hAnsi="Calibri"/>
                <w:color w:val="000000"/>
              </w:rPr>
              <w:t>5,081</w:t>
            </w:r>
          </w:p>
        </w:tc>
        <w:tc>
          <w:tcPr>
            <w:tcW w:w="1029" w:type="pct"/>
            <w:tcMar>
              <w:top w:w="0" w:type="dxa"/>
              <w:left w:w="108" w:type="dxa"/>
              <w:bottom w:w="0" w:type="dxa"/>
              <w:right w:w="108" w:type="dxa"/>
            </w:tcMar>
            <w:vAlign w:val="center"/>
          </w:tcPr>
          <w:p w:rsidR="005B6E28" w:rsidRPr="005666D8" w:rsidRDefault="005B6E28" w:rsidP="005B6E28">
            <w:pPr>
              <w:jc w:val="right"/>
              <w:rPr>
                <w:rFonts w:eastAsiaTheme="minorHAnsi"/>
              </w:rPr>
            </w:pPr>
            <w:r>
              <w:rPr>
                <w:rFonts w:ascii="Calibri" w:hAnsi="Calibri"/>
                <w:color w:val="000000"/>
              </w:rPr>
              <w:t>3,529 (69%)</w:t>
            </w:r>
          </w:p>
        </w:tc>
        <w:tc>
          <w:tcPr>
            <w:tcW w:w="1425" w:type="pct"/>
            <w:vAlign w:val="center"/>
          </w:tcPr>
          <w:p w:rsidR="005B6E28" w:rsidRPr="005666D8" w:rsidRDefault="005B6E28" w:rsidP="005B6E28">
            <w:pPr>
              <w:ind w:left="114"/>
              <w:jc w:val="right"/>
              <w:rPr>
                <w:rFonts w:cs="Tahoma"/>
                <w:color w:val="000000"/>
              </w:rPr>
            </w:pPr>
            <w:r w:rsidRPr="005666D8">
              <w:rPr>
                <w:rFonts w:cs="Tahoma"/>
                <w:color w:val="000000"/>
              </w:rPr>
              <w:t>3,273</w:t>
            </w:r>
            <w:r>
              <w:rPr>
                <w:rFonts w:cs="Tahoma"/>
                <w:color w:val="000000"/>
              </w:rPr>
              <w:t xml:space="preserve"> (93%)</w:t>
            </w:r>
          </w:p>
        </w:tc>
      </w:tr>
      <w:tr w:rsidR="005B6E28" w:rsidRPr="00396A58" w:rsidTr="005B6E28">
        <w:trPr>
          <w:trHeight w:val="476"/>
        </w:trPr>
        <w:tc>
          <w:tcPr>
            <w:tcW w:w="1354" w:type="pct"/>
            <w:tcMar>
              <w:top w:w="0" w:type="dxa"/>
              <w:left w:w="108" w:type="dxa"/>
              <w:bottom w:w="0" w:type="dxa"/>
              <w:right w:w="108" w:type="dxa"/>
            </w:tcMar>
          </w:tcPr>
          <w:p w:rsidR="005B6E28" w:rsidRPr="00396A58" w:rsidRDefault="005B6E28" w:rsidP="00450E1A">
            <w:pPr>
              <w:rPr>
                <w:b/>
              </w:rPr>
            </w:pPr>
            <w:r w:rsidRPr="00396A58">
              <w:rPr>
                <w:b/>
              </w:rPr>
              <w:t xml:space="preserve">All  </w:t>
            </w:r>
            <w:r>
              <w:rPr>
                <w:b/>
              </w:rPr>
              <w:t>CCR</w:t>
            </w:r>
            <w:r w:rsidRPr="00396A58">
              <w:rPr>
                <w:b/>
              </w:rPr>
              <w:t xml:space="preserve"> </w:t>
            </w:r>
            <w:r w:rsidRPr="00396A58">
              <w:rPr>
                <w:rStyle w:val="FootnoteReference"/>
                <w:b/>
              </w:rPr>
              <w:footnoteReference w:id="4"/>
            </w:r>
          </w:p>
        </w:tc>
        <w:tc>
          <w:tcPr>
            <w:tcW w:w="1192" w:type="pct"/>
            <w:tcMar>
              <w:top w:w="0" w:type="dxa"/>
              <w:left w:w="108" w:type="dxa"/>
              <w:bottom w:w="0" w:type="dxa"/>
              <w:right w:w="108" w:type="dxa"/>
            </w:tcMar>
            <w:vAlign w:val="center"/>
          </w:tcPr>
          <w:p w:rsidR="005B6E28" w:rsidRPr="005666D8" w:rsidRDefault="005B6E28" w:rsidP="005B6E28">
            <w:pPr>
              <w:jc w:val="right"/>
              <w:rPr>
                <w:color w:val="000000"/>
              </w:rPr>
            </w:pPr>
            <w:r w:rsidRPr="00C00C20">
              <w:rPr>
                <w:color w:val="000000"/>
              </w:rPr>
              <w:t>10,899</w:t>
            </w:r>
          </w:p>
        </w:tc>
        <w:tc>
          <w:tcPr>
            <w:tcW w:w="1029" w:type="pct"/>
            <w:tcMar>
              <w:top w:w="0" w:type="dxa"/>
              <w:left w:w="108" w:type="dxa"/>
              <w:bottom w:w="0" w:type="dxa"/>
              <w:right w:w="108" w:type="dxa"/>
            </w:tcMar>
            <w:vAlign w:val="center"/>
          </w:tcPr>
          <w:p w:rsidR="005B6E28" w:rsidRPr="005666D8" w:rsidRDefault="005B6E28" w:rsidP="005B6E28">
            <w:pPr>
              <w:jc w:val="right"/>
              <w:rPr>
                <w:color w:val="000000"/>
              </w:rPr>
            </w:pPr>
            <w:r>
              <w:rPr>
                <w:rFonts w:ascii="Calibri" w:hAnsi="Calibri"/>
                <w:color w:val="000000"/>
              </w:rPr>
              <w:t>7,280 (67%)</w:t>
            </w:r>
          </w:p>
        </w:tc>
        <w:tc>
          <w:tcPr>
            <w:tcW w:w="1425" w:type="pct"/>
            <w:vAlign w:val="center"/>
          </w:tcPr>
          <w:p w:rsidR="005B6E28" w:rsidRPr="004251A0" w:rsidRDefault="005B6E28" w:rsidP="005B6E28">
            <w:pPr>
              <w:ind w:left="114"/>
              <w:jc w:val="right"/>
              <w:rPr>
                <w:bCs/>
                <w:color w:val="000000"/>
              </w:rPr>
            </w:pPr>
            <w:r w:rsidRPr="004251A0">
              <w:rPr>
                <w:bCs/>
                <w:color w:val="000000"/>
              </w:rPr>
              <w:t>4,381 (60%)</w:t>
            </w:r>
          </w:p>
        </w:tc>
      </w:tr>
    </w:tbl>
    <w:p w:rsidR="003E7FD3" w:rsidRPr="00396A58" w:rsidRDefault="003E7FD3" w:rsidP="00332AE2">
      <w:pPr>
        <w:rPr>
          <w:b/>
        </w:rPr>
      </w:pPr>
    </w:p>
    <w:p w:rsidR="008F730E" w:rsidRPr="00396A58" w:rsidRDefault="008F730E">
      <w:pPr>
        <w:rPr>
          <w:b/>
        </w:rPr>
      </w:pPr>
      <w:r w:rsidRPr="00396A58">
        <w:rPr>
          <w:b/>
        </w:rPr>
        <w:br w:type="page"/>
      </w:r>
    </w:p>
    <w:p w:rsidR="00E43C87" w:rsidRPr="00396A58" w:rsidRDefault="00E43C87" w:rsidP="0045223A">
      <w:pPr>
        <w:spacing w:after="0"/>
        <w:rPr>
          <w:b/>
        </w:rPr>
      </w:pPr>
      <w:r w:rsidRPr="00396A58">
        <w:rPr>
          <w:b/>
        </w:rPr>
        <w:lastRenderedPageBreak/>
        <w:t xml:space="preserve">Table </w:t>
      </w:r>
      <w:r w:rsidR="006F2950">
        <w:rPr>
          <w:b/>
        </w:rPr>
        <w:t>9</w:t>
      </w:r>
      <w:r w:rsidRPr="00396A58">
        <w:rPr>
          <w:b/>
        </w:rPr>
        <w:t xml:space="preserve">. Completion of a </w:t>
      </w:r>
      <w:r w:rsidR="000219C5" w:rsidRPr="00396A58">
        <w:rPr>
          <w:b/>
        </w:rPr>
        <w:t>gt</w:t>
      </w:r>
      <w:r w:rsidRPr="00396A58">
        <w:rPr>
          <w:b/>
        </w:rPr>
        <w:t xml:space="preserve">Pathways </w:t>
      </w:r>
      <w:r w:rsidR="00A4273D" w:rsidRPr="00396A58">
        <w:rPr>
          <w:b/>
        </w:rPr>
        <w:t xml:space="preserve">Course </w:t>
      </w:r>
      <w:r w:rsidR="00FE1126" w:rsidRPr="00396A58">
        <w:rPr>
          <w:b/>
        </w:rPr>
        <w:t xml:space="preserve">by Summer 2015 </w:t>
      </w:r>
      <w:r w:rsidR="00FA4241" w:rsidRPr="00396A58">
        <w:rPr>
          <w:b/>
        </w:rPr>
        <w:t>for</w:t>
      </w:r>
      <w:r w:rsidR="00A4273D" w:rsidRPr="00396A58">
        <w:rPr>
          <w:b/>
        </w:rPr>
        <w:t xml:space="preserve"> </w:t>
      </w:r>
      <w:r w:rsidRPr="00396A58">
        <w:rPr>
          <w:b/>
        </w:rPr>
        <w:t xml:space="preserve">Students Enrolled in College Composition and Reading (CCR) </w:t>
      </w:r>
      <w:r w:rsidR="005E40F2" w:rsidRPr="00396A58">
        <w:rPr>
          <w:b/>
        </w:rPr>
        <w:t>Courses in</w:t>
      </w:r>
      <w:r w:rsidR="002C69EA" w:rsidRPr="00396A58">
        <w:rPr>
          <w:b/>
        </w:rPr>
        <w:t xml:space="preserve"> 2014-2015.</w:t>
      </w:r>
    </w:p>
    <w:tbl>
      <w:tblPr>
        <w:tblpPr w:leftFromText="180" w:rightFromText="180" w:bottomFromText="155" w:vertAnchor="text"/>
        <w:tblW w:w="3891"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79"/>
        <w:gridCol w:w="1919"/>
        <w:gridCol w:w="1656"/>
        <w:gridCol w:w="2294"/>
      </w:tblGrid>
      <w:tr w:rsidR="007F264F" w:rsidRPr="00396A58" w:rsidTr="005666D8">
        <w:trPr>
          <w:trHeight w:val="1158"/>
        </w:trPr>
        <w:tc>
          <w:tcPr>
            <w:tcW w:w="1354" w:type="pct"/>
            <w:tcMar>
              <w:top w:w="0" w:type="dxa"/>
              <w:left w:w="108" w:type="dxa"/>
              <w:bottom w:w="0" w:type="dxa"/>
              <w:right w:w="108" w:type="dxa"/>
            </w:tcMar>
            <w:hideMark/>
          </w:tcPr>
          <w:p w:rsidR="007F264F" w:rsidRPr="00396A58" w:rsidRDefault="007F264F" w:rsidP="00F54350">
            <w:pPr>
              <w:rPr>
                <w:rFonts w:eastAsiaTheme="minorHAnsi"/>
                <w:b/>
                <w:bCs/>
              </w:rPr>
            </w:pPr>
            <w:r w:rsidRPr="00396A58">
              <w:rPr>
                <w:b/>
                <w:bCs/>
              </w:rPr>
              <w:t xml:space="preserve">Course  </w:t>
            </w:r>
          </w:p>
        </w:tc>
        <w:tc>
          <w:tcPr>
            <w:tcW w:w="1192" w:type="pct"/>
            <w:tcMar>
              <w:top w:w="0" w:type="dxa"/>
              <w:left w:w="108" w:type="dxa"/>
              <w:bottom w:w="0" w:type="dxa"/>
              <w:right w:w="108" w:type="dxa"/>
            </w:tcMar>
            <w:hideMark/>
          </w:tcPr>
          <w:p w:rsidR="007F264F" w:rsidRPr="00396A58" w:rsidRDefault="007F264F" w:rsidP="00F54350">
            <w:pPr>
              <w:rPr>
                <w:rFonts w:eastAsiaTheme="minorHAnsi"/>
                <w:b/>
                <w:bCs/>
              </w:rPr>
            </w:pPr>
            <w:r w:rsidRPr="00396A58">
              <w:rPr>
                <w:b/>
                <w:bCs/>
              </w:rPr>
              <w:t xml:space="preserve">Students enrolled in </w:t>
            </w:r>
            <w:r w:rsidR="00E50938">
              <w:rPr>
                <w:b/>
                <w:bCs/>
              </w:rPr>
              <w:t xml:space="preserve">developmental </w:t>
            </w:r>
            <w:r w:rsidRPr="00396A58">
              <w:rPr>
                <w:b/>
                <w:bCs/>
              </w:rPr>
              <w:t>course</w:t>
            </w:r>
          </w:p>
        </w:tc>
        <w:tc>
          <w:tcPr>
            <w:tcW w:w="1029" w:type="pct"/>
            <w:tcMar>
              <w:top w:w="0" w:type="dxa"/>
              <w:left w:w="108" w:type="dxa"/>
              <w:bottom w:w="0" w:type="dxa"/>
              <w:right w:w="108" w:type="dxa"/>
            </w:tcMar>
            <w:hideMark/>
          </w:tcPr>
          <w:p w:rsidR="007F264F" w:rsidRPr="00396A58" w:rsidRDefault="007F264F" w:rsidP="00F54350">
            <w:pPr>
              <w:rPr>
                <w:rFonts w:eastAsiaTheme="minorHAnsi"/>
                <w:b/>
                <w:bCs/>
              </w:rPr>
            </w:pPr>
            <w:r w:rsidRPr="00396A58">
              <w:rPr>
                <w:b/>
                <w:bCs/>
              </w:rPr>
              <w:t xml:space="preserve">…successfully completed the course </w:t>
            </w:r>
          </w:p>
        </w:tc>
        <w:tc>
          <w:tcPr>
            <w:tcW w:w="1425" w:type="pct"/>
          </w:tcPr>
          <w:p w:rsidR="007F264F" w:rsidRPr="00396A58" w:rsidRDefault="007F264F" w:rsidP="008011CE">
            <w:pPr>
              <w:spacing w:after="0"/>
              <w:rPr>
                <w:b/>
                <w:bCs/>
              </w:rPr>
            </w:pPr>
            <w:r w:rsidRPr="00396A58">
              <w:rPr>
                <w:b/>
                <w:bCs/>
              </w:rPr>
              <w:t>…successfully completed  at least one  gtPathways course by Summer 2015</w:t>
            </w:r>
          </w:p>
        </w:tc>
      </w:tr>
      <w:tr w:rsidR="005B6E28" w:rsidRPr="00396A58" w:rsidTr="005B6E28">
        <w:trPr>
          <w:trHeight w:val="476"/>
        </w:trPr>
        <w:tc>
          <w:tcPr>
            <w:tcW w:w="1354" w:type="pct"/>
            <w:tcMar>
              <w:top w:w="0" w:type="dxa"/>
              <w:left w:w="108" w:type="dxa"/>
              <w:bottom w:w="0" w:type="dxa"/>
              <w:right w:w="108" w:type="dxa"/>
            </w:tcMar>
          </w:tcPr>
          <w:p w:rsidR="005B6E28" w:rsidRPr="00396A58" w:rsidRDefault="005B6E28" w:rsidP="005B6E28">
            <w:pPr>
              <w:spacing w:after="0"/>
              <w:rPr>
                <w:b/>
              </w:rPr>
            </w:pPr>
            <w:r>
              <w:rPr>
                <w:b/>
              </w:rPr>
              <w:t>CCR 091</w:t>
            </w:r>
          </w:p>
        </w:tc>
        <w:tc>
          <w:tcPr>
            <w:tcW w:w="1192" w:type="pct"/>
            <w:tcMar>
              <w:top w:w="0" w:type="dxa"/>
              <w:left w:w="108" w:type="dxa"/>
              <w:bottom w:w="0" w:type="dxa"/>
              <w:right w:w="108" w:type="dxa"/>
            </w:tcMar>
            <w:vAlign w:val="center"/>
          </w:tcPr>
          <w:p w:rsidR="005B6E28" w:rsidRPr="00D14FFD" w:rsidRDefault="005B6E28" w:rsidP="005B6E28">
            <w:pPr>
              <w:spacing w:after="0"/>
              <w:jc w:val="right"/>
              <w:rPr>
                <w:rFonts w:cs="Tahoma"/>
                <w:color w:val="000000"/>
              </w:rPr>
            </w:pPr>
            <w:r>
              <w:rPr>
                <w:rFonts w:ascii="Calibri" w:hAnsi="Calibri"/>
                <w:color w:val="000000"/>
              </w:rPr>
              <w:t>152</w:t>
            </w:r>
          </w:p>
        </w:tc>
        <w:tc>
          <w:tcPr>
            <w:tcW w:w="1029" w:type="pct"/>
            <w:tcMar>
              <w:top w:w="0" w:type="dxa"/>
              <w:left w:w="108" w:type="dxa"/>
              <w:bottom w:w="0" w:type="dxa"/>
              <w:right w:w="108" w:type="dxa"/>
            </w:tcMar>
            <w:vAlign w:val="center"/>
          </w:tcPr>
          <w:p w:rsidR="005B6E28" w:rsidRPr="00D14FFD" w:rsidRDefault="005B6E28" w:rsidP="005B6E28">
            <w:pPr>
              <w:spacing w:after="0"/>
              <w:jc w:val="right"/>
              <w:rPr>
                <w:rFonts w:cs="Tahoma"/>
                <w:color w:val="000000"/>
              </w:rPr>
            </w:pPr>
            <w:r>
              <w:rPr>
                <w:rFonts w:ascii="Calibri" w:hAnsi="Calibri"/>
                <w:color w:val="000000"/>
              </w:rPr>
              <w:t>105 (69%)</w:t>
            </w:r>
          </w:p>
        </w:tc>
        <w:tc>
          <w:tcPr>
            <w:tcW w:w="1425" w:type="pct"/>
            <w:vAlign w:val="center"/>
          </w:tcPr>
          <w:p w:rsidR="005B6E28" w:rsidRPr="00D14FFD" w:rsidRDefault="005B6E28" w:rsidP="005B6E28">
            <w:pPr>
              <w:spacing w:after="0"/>
              <w:ind w:left="114"/>
              <w:jc w:val="right"/>
              <w:rPr>
                <w:rFonts w:cs="Tahoma"/>
                <w:color w:val="000000"/>
              </w:rPr>
            </w:pPr>
            <w:r w:rsidRPr="00D14FFD">
              <w:rPr>
                <w:rFonts w:cs="Tahoma"/>
                <w:color w:val="000000"/>
              </w:rPr>
              <w:t>46 (44%)</w:t>
            </w:r>
          </w:p>
        </w:tc>
      </w:tr>
      <w:tr w:rsidR="005B6E28" w:rsidRPr="00396A58" w:rsidTr="005B6E28">
        <w:trPr>
          <w:trHeight w:val="476"/>
        </w:trPr>
        <w:tc>
          <w:tcPr>
            <w:tcW w:w="1354" w:type="pct"/>
            <w:tcMar>
              <w:top w:w="0" w:type="dxa"/>
              <w:left w:w="108" w:type="dxa"/>
              <w:bottom w:w="0" w:type="dxa"/>
              <w:right w:w="108" w:type="dxa"/>
            </w:tcMar>
          </w:tcPr>
          <w:p w:rsidR="005B6E28" w:rsidRPr="007F3C8B" w:rsidRDefault="005B6E28" w:rsidP="005B6E28">
            <w:pPr>
              <w:spacing w:after="0"/>
              <w:rPr>
                <w:b/>
              </w:rPr>
            </w:pPr>
            <w:r>
              <w:rPr>
                <w:b/>
              </w:rPr>
              <w:t>CCR 092</w:t>
            </w:r>
          </w:p>
        </w:tc>
        <w:tc>
          <w:tcPr>
            <w:tcW w:w="1192" w:type="pct"/>
            <w:tcMar>
              <w:top w:w="0" w:type="dxa"/>
              <w:left w:w="108" w:type="dxa"/>
              <w:bottom w:w="0" w:type="dxa"/>
              <w:right w:w="108" w:type="dxa"/>
            </w:tcMar>
            <w:vAlign w:val="center"/>
          </w:tcPr>
          <w:p w:rsidR="005B6E28" w:rsidRPr="00D14FFD" w:rsidRDefault="005B6E28" w:rsidP="005B6E28">
            <w:pPr>
              <w:spacing w:after="0"/>
              <w:jc w:val="right"/>
              <w:rPr>
                <w:rFonts w:eastAsiaTheme="minorHAnsi"/>
              </w:rPr>
            </w:pPr>
            <w:r>
              <w:rPr>
                <w:rFonts w:ascii="Calibri" w:hAnsi="Calibri"/>
                <w:color w:val="000000"/>
              </w:rPr>
              <w:t>5,029</w:t>
            </w:r>
          </w:p>
        </w:tc>
        <w:tc>
          <w:tcPr>
            <w:tcW w:w="1029" w:type="pct"/>
            <w:tcMar>
              <w:top w:w="0" w:type="dxa"/>
              <w:left w:w="108" w:type="dxa"/>
              <w:bottom w:w="0" w:type="dxa"/>
              <w:right w:w="108" w:type="dxa"/>
            </w:tcMar>
            <w:vAlign w:val="center"/>
          </w:tcPr>
          <w:p w:rsidR="005B6E28" w:rsidRPr="00D14FFD" w:rsidRDefault="005B6E28" w:rsidP="005B6E28">
            <w:pPr>
              <w:spacing w:after="0"/>
              <w:jc w:val="right"/>
              <w:rPr>
                <w:rFonts w:eastAsiaTheme="minorHAnsi"/>
              </w:rPr>
            </w:pPr>
            <w:r>
              <w:rPr>
                <w:rFonts w:ascii="Calibri" w:hAnsi="Calibri"/>
                <w:color w:val="000000"/>
              </w:rPr>
              <w:t>3,316 (66%)</w:t>
            </w:r>
          </w:p>
        </w:tc>
        <w:tc>
          <w:tcPr>
            <w:tcW w:w="1425" w:type="pct"/>
            <w:vAlign w:val="center"/>
          </w:tcPr>
          <w:p w:rsidR="005B6E28" w:rsidRPr="00D14FFD" w:rsidRDefault="005B6E28" w:rsidP="005B6E28">
            <w:pPr>
              <w:spacing w:after="0"/>
              <w:ind w:left="114"/>
              <w:jc w:val="right"/>
              <w:rPr>
                <w:rFonts w:cs="Tahoma"/>
                <w:color w:val="000000"/>
              </w:rPr>
            </w:pPr>
            <w:r w:rsidRPr="00D14FFD">
              <w:rPr>
                <w:rFonts w:cs="Tahoma"/>
                <w:color w:val="000000"/>
              </w:rPr>
              <w:t>1,420 (43%)</w:t>
            </w:r>
          </w:p>
        </w:tc>
      </w:tr>
      <w:tr w:rsidR="005B6E28" w:rsidRPr="00396A58" w:rsidTr="005B6E28">
        <w:trPr>
          <w:trHeight w:val="476"/>
        </w:trPr>
        <w:tc>
          <w:tcPr>
            <w:tcW w:w="1354" w:type="pct"/>
            <w:tcBorders>
              <w:bottom w:val="single" w:sz="4" w:space="0" w:color="auto"/>
            </w:tcBorders>
            <w:tcMar>
              <w:top w:w="0" w:type="dxa"/>
              <w:left w:w="108" w:type="dxa"/>
              <w:bottom w:w="0" w:type="dxa"/>
              <w:right w:w="108" w:type="dxa"/>
            </w:tcMar>
          </w:tcPr>
          <w:p w:rsidR="005B6E28" w:rsidRPr="00396A58" w:rsidRDefault="005B6E28" w:rsidP="005B6E28">
            <w:pPr>
              <w:spacing w:after="0"/>
              <w:rPr>
                <w:rFonts w:eastAsiaTheme="minorHAnsi"/>
                <w:b/>
              </w:rPr>
            </w:pPr>
            <w:r w:rsidRPr="00396A58">
              <w:rPr>
                <w:b/>
              </w:rPr>
              <w:t>CCR 093</w:t>
            </w:r>
          </w:p>
        </w:tc>
        <w:tc>
          <w:tcPr>
            <w:tcW w:w="1192" w:type="pct"/>
            <w:tcBorders>
              <w:bottom w:val="single" w:sz="4" w:space="0" w:color="auto"/>
            </w:tcBorders>
            <w:tcMar>
              <w:top w:w="0" w:type="dxa"/>
              <w:left w:w="108" w:type="dxa"/>
              <w:bottom w:w="0" w:type="dxa"/>
              <w:right w:w="108" w:type="dxa"/>
            </w:tcMar>
            <w:vAlign w:val="center"/>
          </w:tcPr>
          <w:p w:rsidR="005B6E28" w:rsidRPr="00D14FFD" w:rsidRDefault="005B6E28" w:rsidP="005B6E28">
            <w:pPr>
              <w:spacing w:after="0"/>
              <w:jc w:val="right"/>
              <w:rPr>
                <w:rFonts w:eastAsiaTheme="minorHAnsi"/>
              </w:rPr>
            </w:pPr>
            <w:r>
              <w:rPr>
                <w:rFonts w:ascii="Calibri" w:hAnsi="Calibri"/>
                <w:color w:val="000000"/>
              </w:rPr>
              <w:t>812</w:t>
            </w:r>
          </w:p>
        </w:tc>
        <w:tc>
          <w:tcPr>
            <w:tcW w:w="1029" w:type="pct"/>
            <w:tcBorders>
              <w:bottom w:val="single" w:sz="4" w:space="0" w:color="auto"/>
            </w:tcBorders>
            <w:tcMar>
              <w:top w:w="0" w:type="dxa"/>
              <w:left w:w="108" w:type="dxa"/>
              <w:bottom w:w="0" w:type="dxa"/>
              <w:right w:w="108" w:type="dxa"/>
            </w:tcMar>
            <w:vAlign w:val="center"/>
          </w:tcPr>
          <w:p w:rsidR="005B6E28" w:rsidRPr="00D14FFD" w:rsidRDefault="005B6E28" w:rsidP="005B6E28">
            <w:pPr>
              <w:spacing w:after="0"/>
              <w:jc w:val="right"/>
              <w:rPr>
                <w:rFonts w:eastAsiaTheme="minorHAnsi"/>
              </w:rPr>
            </w:pPr>
            <w:r>
              <w:rPr>
                <w:rFonts w:ascii="Calibri" w:hAnsi="Calibri"/>
                <w:color w:val="000000"/>
              </w:rPr>
              <w:t>499 (61%)</w:t>
            </w:r>
          </w:p>
        </w:tc>
        <w:tc>
          <w:tcPr>
            <w:tcW w:w="1425" w:type="pct"/>
            <w:tcBorders>
              <w:bottom w:val="single" w:sz="4" w:space="0" w:color="auto"/>
            </w:tcBorders>
            <w:vAlign w:val="center"/>
          </w:tcPr>
          <w:p w:rsidR="005B6E28" w:rsidRPr="00D14FFD" w:rsidRDefault="005B6E28" w:rsidP="005B6E28">
            <w:pPr>
              <w:spacing w:after="0"/>
              <w:ind w:left="114"/>
              <w:jc w:val="right"/>
              <w:rPr>
                <w:rFonts w:cs="Tahoma"/>
                <w:color w:val="000000"/>
              </w:rPr>
            </w:pPr>
            <w:r w:rsidRPr="00D14FFD">
              <w:rPr>
                <w:rFonts w:cs="Tahoma"/>
                <w:color w:val="000000"/>
              </w:rPr>
              <w:t>406 (81%)</w:t>
            </w:r>
          </w:p>
        </w:tc>
      </w:tr>
      <w:tr w:rsidR="005B6E28" w:rsidRPr="00396A58" w:rsidTr="005B6E28">
        <w:trPr>
          <w:trHeight w:val="476"/>
        </w:trPr>
        <w:tc>
          <w:tcPr>
            <w:tcW w:w="13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6E28" w:rsidRPr="00396A58" w:rsidRDefault="005B6E28" w:rsidP="005B6E28">
            <w:pPr>
              <w:spacing w:after="0"/>
              <w:rPr>
                <w:rFonts w:eastAsiaTheme="minorHAnsi"/>
                <w:b/>
              </w:rPr>
            </w:pPr>
            <w:r w:rsidRPr="00396A58">
              <w:rPr>
                <w:b/>
              </w:rPr>
              <w:t>CCR 094</w:t>
            </w:r>
          </w:p>
        </w:tc>
        <w:tc>
          <w:tcPr>
            <w:tcW w:w="11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6E28" w:rsidRPr="00D14FFD" w:rsidRDefault="005B6E28" w:rsidP="005B6E28">
            <w:pPr>
              <w:spacing w:after="0"/>
              <w:jc w:val="right"/>
              <w:rPr>
                <w:rFonts w:eastAsiaTheme="minorHAnsi"/>
              </w:rPr>
            </w:pPr>
            <w:r>
              <w:rPr>
                <w:rFonts w:ascii="Calibri" w:hAnsi="Calibri"/>
                <w:color w:val="000000"/>
              </w:rPr>
              <w:t>5,081</w:t>
            </w:r>
          </w:p>
        </w:tc>
        <w:tc>
          <w:tcPr>
            <w:tcW w:w="10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6E28" w:rsidRPr="00D14FFD" w:rsidRDefault="005B6E28" w:rsidP="005B6E28">
            <w:pPr>
              <w:spacing w:after="0"/>
              <w:jc w:val="right"/>
              <w:rPr>
                <w:rFonts w:eastAsiaTheme="minorHAnsi"/>
              </w:rPr>
            </w:pPr>
            <w:r>
              <w:rPr>
                <w:rFonts w:ascii="Calibri" w:hAnsi="Calibri"/>
                <w:color w:val="000000"/>
              </w:rPr>
              <w:t>3,529 (69%)</w:t>
            </w:r>
          </w:p>
        </w:tc>
        <w:tc>
          <w:tcPr>
            <w:tcW w:w="1425" w:type="pct"/>
            <w:tcBorders>
              <w:top w:val="single" w:sz="4" w:space="0" w:color="auto"/>
              <w:left w:val="single" w:sz="4" w:space="0" w:color="auto"/>
              <w:bottom w:val="single" w:sz="4" w:space="0" w:color="auto"/>
              <w:right w:val="single" w:sz="4" w:space="0" w:color="auto"/>
            </w:tcBorders>
            <w:vAlign w:val="center"/>
          </w:tcPr>
          <w:p w:rsidR="005B6E28" w:rsidRPr="00D14FFD" w:rsidRDefault="005B6E28" w:rsidP="005B6E28">
            <w:pPr>
              <w:spacing w:after="0"/>
              <w:ind w:left="114"/>
              <w:jc w:val="right"/>
              <w:rPr>
                <w:color w:val="000000"/>
              </w:rPr>
            </w:pPr>
            <w:r w:rsidRPr="00D14FFD">
              <w:rPr>
                <w:color w:val="000000"/>
              </w:rPr>
              <w:t>3,322</w:t>
            </w:r>
            <w:r w:rsidR="005358C9">
              <w:rPr>
                <w:color w:val="000000"/>
              </w:rPr>
              <w:t xml:space="preserve"> </w:t>
            </w:r>
            <w:r w:rsidRPr="00D14FFD">
              <w:rPr>
                <w:color w:val="000000"/>
              </w:rPr>
              <w:t>(94%)</w:t>
            </w:r>
          </w:p>
        </w:tc>
      </w:tr>
      <w:tr w:rsidR="005B6E28" w:rsidRPr="00396A58" w:rsidTr="005B6E28">
        <w:trPr>
          <w:trHeight w:val="476"/>
        </w:trPr>
        <w:tc>
          <w:tcPr>
            <w:tcW w:w="13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6E28" w:rsidRPr="00396A58" w:rsidRDefault="005B6E28" w:rsidP="005B6E28">
            <w:pPr>
              <w:spacing w:after="0"/>
              <w:rPr>
                <w:b/>
              </w:rPr>
            </w:pPr>
            <w:r w:rsidRPr="00396A58">
              <w:rPr>
                <w:b/>
              </w:rPr>
              <w:t xml:space="preserve">All  </w:t>
            </w:r>
            <w:r>
              <w:rPr>
                <w:b/>
              </w:rPr>
              <w:t>CCR</w:t>
            </w:r>
            <w:r w:rsidRPr="00396A58">
              <w:rPr>
                <w:b/>
              </w:rPr>
              <w:t xml:space="preserve"> </w:t>
            </w:r>
            <w:r w:rsidRPr="00396A58">
              <w:rPr>
                <w:rStyle w:val="FootnoteReference"/>
                <w:b/>
              </w:rPr>
              <w:footnoteReference w:id="5"/>
            </w:r>
          </w:p>
        </w:tc>
        <w:tc>
          <w:tcPr>
            <w:tcW w:w="11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6E28" w:rsidRPr="00D14FFD" w:rsidRDefault="005B6E28" w:rsidP="005B6E28">
            <w:pPr>
              <w:spacing w:after="0"/>
              <w:jc w:val="right"/>
              <w:rPr>
                <w:color w:val="000000"/>
              </w:rPr>
            </w:pPr>
            <w:r w:rsidRPr="00C00C20">
              <w:rPr>
                <w:color w:val="000000"/>
              </w:rPr>
              <w:t>10,899</w:t>
            </w:r>
          </w:p>
        </w:tc>
        <w:tc>
          <w:tcPr>
            <w:tcW w:w="10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6E28" w:rsidRPr="00D14FFD" w:rsidRDefault="005B6E28" w:rsidP="005B6E28">
            <w:pPr>
              <w:spacing w:after="0"/>
              <w:jc w:val="right"/>
              <w:rPr>
                <w:color w:val="000000"/>
              </w:rPr>
            </w:pPr>
            <w:r>
              <w:rPr>
                <w:rFonts w:ascii="Calibri" w:hAnsi="Calibri"/>
                <w:color w:val="000000"/>
              </w:rPr>
              <w:t>7,280 (67%)</w:t>
            </w:r>
          </w:p>
        </w:tc>
        <w:tc>
          <w:tcPr>
            <w:tcW w:w="1425" w:type="pct"/>
            <w:tcBorders>
              <w:top w:val="single" w:sz="4" w:space="0" w:color="auto"/>
              <w:left w:val="single" w:sz="4" w:space="0" w:color="auto"/>
              <w:bottom w:val="single" w:sz="4" w:space="0" w:color="auto"/>
              <w:right w:val="single" w:sz="4" w:space="0" w:color="auto"/>
            </w:tcBorders>
            <w:vAlign w:val="center"/>
          </w:tcPr>
          <w:p w:rsidR="005B6E28" w:rsidRPr="00D14FFD" w:rsidRDefault="005B6E28" w:rsidP="005B6E28">
            <w:pPr>
              <w:spacing w:after="0"/>
              <w:ind w:left="114"/>
              <w:jc w:val="right"/>
              <w:rPr>
                <w:bCs/>
                <w:color w:val="000000"/>
              </w:rPr>
            </w:pPr>
            <w:r w:rsidRPr="00D14FFD">
              <w:rPr>
                <w:bCs/>
                <w:color w:val="000000"/>
              </w:rPr>
              <w:t>5,077 (70%)</w:t>
            </w:r>
          </w:p>
        </w:tc>
      </w:tr>
    </w:tbl>
    <w:p w:rsidR="007F264F" w:rsidRDefault="007F264F" w:rsidP="007F3C8B"/>
    <w:p w:rsidR="007F264F" w:rsidRDefault="007F264F" w:rsidP="007F3C8B"/>
    <w:p w:rsidR="007F264F" w:rsidRDefault="007F264F" w:rsidP="007F3C8B"/>
    <w:p w:rsidR="007F264F" w:rsidRDefault="007F264F" w:rsidP="007F3C8B"/>
    <w:p w:rsidR="007F264F" w:rsidRDefault="007F264F" w:rsidP="007F3C8B"/>
    <w:p w:rsidR="007F264F" w:rsidRDefault="007F264F" w:rsidP="007F3C8B"/>
    <w:p w:rsidR="007F264F" w:rsidRDefault="007F264F" w:rsidP="007F3C8B"/>
    <w:p w:rsidR="007F264F" w:rsidRDefault="007F264F" w:rsidP="007F3C8B"/>
    <w:p w:rsidR="007A4334" w:rsidRPr="00396A58" w:rsidRDefault="007A4334" w:rsidP="001E51B1">
      <w:pPr>
        <w:pStyle w:val="Heading2"/>
      </w:pPr>
      <w:r w:rsidRPr="00396A58">
        <w:t>Completion Rates for Students in Developmental</w:t>
      </w:r>
      <w:r w:rsidR="006444E2" w:rsidRPr="00396A58">
        <w:t xml:space="preserve"> Math</w:t>
      </w:r>
      <w:r w:rsidRPr="00396A58">
        <w:t xml:space="preserve"> Courses</w:t>
      </w:r>
    </w:p>
    <w:p w:rsidR="003C7388" w:rsidRPr="00396A58" w:rsidRDefault="007A4334" w:rsidP="00332AE2">
      <w:r w:rsidRPr="00396A58">
        <w:t xml:space="preserve">Prior to the redesign, Colorado community colleges had </w:t>
      </w:r>
      <w:r w:rsidR="00040819" w:rsidRPr="00396A58">
        <w:t xml:space="preserve">a four course, thirteen credit-hour </w:t>
      </w:r>
      <w:r w:rsidRPr="00396A58">
        <w:t>sequence</w:t>
      </w:r>
      <w:r w:rsidR="00040819" w:rsidRPr="00396A58">
        <w:t xml:space="preserve"> </w:t>
      </w:r>
      <w:r w:rsidRPr="00396A58">
        <w:t xml:space="preserve">for developmental math: MAT 030, </w:t>
      </w:r>
      <w:r w:rsidR="006444E2" w:rsidRPr="00396A58">
        <w:t>0</w:t>
      </w:r>
      <w:r w:rsidRPr="00396A58">
        <w:t xml:space="preserve">60, 090, and 099. </w:t>
      </w:r>
    </w:p>
    <w:p w:rsidR="00823F72" w:rsidRPr="00396A58" w:rsidRDefault="00283CE4" w:rsidP="00823F72">
      <w:r w:rsidRPr="00396A58">
        <w:rPr>
          <w:b/>
        </w:rPr>
        <w:t>Table</w:t>
      </w:r>
      <w:r w:rsidR="00823F72" w:rsidRPr="00396A58">
        <w:rPr>
          <w:b/>
        </w:rPr>
        <w:t xml:space="preserve"> </w:t>
      </w:r>
      <w:r w:rsidR="00895E57">
        <w:rPr>
          <w:b/>
        </w:rPr>
        <w:t>10</w:t>
      </w:r>
      <w:r w:rsidR="00823F72" w:rsidRPr="00396A58">
        <w:rPr>
          <w:b/>
        </w:rPr>
        <w:t xml:space="preserve"> </w:t>
      </w:r>
      <w:r w:rsidR="00823F72" w:rsidRPr="00396A58">
        <w:t>report</w:t>
      </w:r>
      <w:r w:rsidRPr="00396A58">
        <w:t>s</w:t>
      </w:r>
      <w:r w:rsidR="00823F72" w:rsidRPr="00396A58">
        <w:t xml:space="preserve"> on students in 2008-2009 who were enrolled in developmental math and </w:t>
      </w:r>
      <w:r w:rsidR="008E2E39">
        <w:t>subsequent success in a college-</w:t>
      </w:r>
      <w:r w:rsidR="00823F72" w:rsidRPr="00396A58">
        <w:t xml:space="preserve">level math course (MAT 103, 107, 108, 112, 120, 121,123, 135, 155, or 156). </w:t>
      </w:r>
    </w:p>
    <w:p w:rsidR="00C3607D" w:rsidRPr="00396A58" w:rsidRDefault="00C3607D" w:rsidP="0045223A">
      <w:pPr>
        <w:spacing w:after="0"/>
        <w:rPr>
          <w:b/>
        </w:rPr>
      </w:pPr>
      <w:r w:rsidRPr="00396A58">
        <w:rPr>
          <w:b/>
        </w:rPr>
        <w:t>Tabl</w:t>
      </w:r>
      <w:r w:rsidR="00A4273D" w:rsidRPr="00396A58">
        <w:rPr>
          <w:b/>
        </w:rPr>
        <w:t xml:space="preserve">e </w:t>
      </w:r>
      <w:r w:rsidR="00895E57">
        <w:rPr>
          <w:b/>
        </w:rPr>
        <w:t>10</w:t>
      </w:r>
      <w:r w:rsidR="0059787C" w:rsidRPr="00396A58">
        <w:rPr>
          <w:b/>
        </w:rPr>
        <w:t>.</w:t>
      </w:r>
      <w:r w:rsidR="003E7FD3" w:rsidRPr="00396A58">
        <w:rPr>
          <w:b/>
        </w:rPr>
        <w:t xml:space="preserve"> </w:t>
      </w:r>
      <w:r w:rsidR="008E2E39">
        <w:rPr>
          <w:b/>
        </w:rPr>
        <w:t>Completion of College-</w:t>
      </w:r>
      <w:r w:rsidR="001E51B1" w:rsidRPr="00396A58">
        <w:rPr>
          <w:b/>
        </w:rPr>
        <w:t>Level Math in One Academic Year for Students Enrolled in Developmental Math 2008-</w:t>
      </w:r>
      <w:r w:rsidR="002C69EA" w:rsidRPr="00396A58">
        <w:rPr>
          <w:b/>
        </w:rPr>
        <w:t>20</w:t>
      </w:r>
      <w:r w:rsidR="001E51B1" w:rsidRPr="00396A58">
        <w:rPr>
          <w:b/>
        </w:rPr>
        <w:t xml:space="preserve">09.  </w:t>
      </w:r>
    </w:p>
    <w:tbl>
      <w:tblPr>
        <w:tblpPr w:leftFromText="180" w:rightFromText="180" w:bottomFromText="155" w:vertAnchor="text"/>
        <w:tblW w:w="4983"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53"/>
        <w:gridCol w:w="2329"/>
        <w:gridCol w:w="2964"/>
        <w:gridCol w:w="2661"/>
      </w:tblGrid>
      <w:tr w:rsidR="007F264F" w:rsidRPr="00396A58" w:rsidTr="00814AB7">
        <w:trPr>
          <w:trHeight w:val="1081"/>
        </w:trPr>
        <w:tc>
          <w:tcPr>
            <w:tcW w:w="1141" w:type="pct"/>
            <w:tcMar>
              <w:top w:w="0" w:type="dxa"/>
              <w:left w:w="108" w:type="dxa"/>
              <w:bottom w:w="0" w:type="dxa"/>
              <w:right w:w="108" w:type="dxa"/>
            </w:tcMar>
            <w:hideMark/>
          </w:tcPr>
          <w:p w:rsidR="007F264F" w:rsidRPr="00396A58" w:rsidRDefault="007F264F" w:rsidP="001E51B1">
            <w:pPr>
              <w:spacing w:after="0"/>
              <w:rPr>
                <w:rFonts w:eastAsiaTheme="minorHAnsi"/>
                <w:b/>
                <w:bCs/>
              </w:rPr>
            </w:pPr>
            <w:r w:rsidRPr="00396A58">
              <w:rPr>
                <w:b/>
                <w:bCs/>
              </w:rPr>
              <w:t xml:space="preserve">Course </w:t>
            </w:r>
          </w:p>
        </w:tc>
        <w:tc>
          <w:tcPr>
            <w:tcW w:w="1130" w:type="pct"/>
            <w:tcMar>
              <w:top w:w="0" w:type="dxa"/>
              <w:left w:w="108" w:type="dxa"/>
              <w:bottom w:w="0" w:type="dxa"/>
              <w:right w:w="108" w:type="dxa"/>
            </w:tcMar>
            <w:hideMark/>
          </w:tcPr>
          <w:p w:rsidR="007F264F" w:rsidRPr="00396A58" w:rsidRDefault="007F264F" w:rsidP="001E51B1">
            <w:pPr>
              <w:spacing w:after="0"/>
              <w:rPr>
                <w:rFonts w:eastAsiaTheme="minorHAnsi"/>
                <w:b/>
                <w:bCs/>
              </w:rPr>
            </w:pPr>
            <w:r w:rsidRPr="00396A58">
              <w:rPr>
                <w:b/>
                <w:bCs/>
              </w:rPr>
              <w:t xml:space="preserve">Students enrolled in </w:t>
            </w:r>
            <w:r w:rsidR="00E50938">
              <w:rPr>
                <w:b/>
                <w:bCs/>
              </w:rPr>
              <w:t xml:space="preserve">developmental </w:t>
            </w:r>
            <w:r w:rsidRPr="00396A58">
              <w:rPr>
                <w:b/>
                <w:bCs/>
              </w:rPr>
              <w:t>course</w:t>
            </w:r>
          </w:p>
        </w:tc>
        <w:tc>
          <w:tcPr>
            <w:tcW w:w="1438" w:type="pct"/>
            <w:tcMar>
              <w:top w:w="0" w:type="dxa"/>
              <w:left w:w="108" w:type="dxa"/>
              <w:bottom w:w="0" w:type="dxa"/>
              <w:right w:w="108" w:type="dxa"/>
            </w:tcMar>
            <w:hideMark/>
          </w:tcPr>
          <w:p w:rsidR="007F264F" w:rsidRPr="00396A58" w:rsidRDefault="007F264F" w:rsidP="001E51B1">
            <w:pPr>
              <w:spacing w:after="0"/>
              <w:rPr>
                <w:rFonts w:eastAsiaTheme="minorHAnsi"/>
                <w:b/>
                <w:bCs/>
              </w:rPr>
            </w:pPr>
            <w:r w:rsidRPr="00396A58">
              <w:rPr>
                <w:b/>
                <w:bCs/>
              </w:rPr>
              <w:t xml:space="preserve">…successfully completed the course </w:t>
            </w:r>
          </w:p>
        </w:tc>
        <w:tc>
          <w:tcPr>
            <w:tcW w:w="1291" w:type="pct"/>
          </w:tcPr>
          <w:p w:rsidR="007F264F" w:rsidRPr="00396A58" w:rsidRDefault="007F264F" w:rsidP="001E51B1">
            <w:pPr>
              <w:spacing w:after="0"/>
              <w:rPr>
                <w:b/>
                <w:bCs/>
              </w:rPr>
            </w:pPr>
            <w:r w:rsidRPr="00396A58">
              <w:rPr>
                <w:b/>
                <w:bCs/>
              </w:rPr>
              <w:t>…successfully completed college level math course in the following year</w:t>
            </w:r>
          </w:p>
        </w:tc>
      </w:tr>
      <w:tr w:rsidR="00C00C20" w:rsidRPr="00396A58" w:rsidTr="00814AB7">
        <w:trPr>
          <w:trHeight w:val="470"/>
        </w:trPr>
        <w:tc>
          <w:tcPr>
            <w:tcW w:w="1141" w:type="pct"/>
            <w:tcMar>
              <w:top w:w="0" w:type="dxa"/>
              <w:left w:w="108" w:type="dxa"/>
              <w:bottom w:w="0" w:type="dxa"/>
              <w:right w:w="108" w:type="dxa"/>
            </w:tcMar>
          </w:tcPr>
          <w:p w:rsidR="00C00C20" w:rsidRPr="00396A58" w:rsidRDefault="00C00C20" w:rsidP="00B851C8">
            <w:pPr>
              <w:rPr>
                <w:rFonts w:eastAsiaTheme="minorHAnsi"/>
                <w:b/>
              </w:rPr>
            </w:pPr>
            <w:r w:rsidRPr="00396A58">
              <w:rPr>
                <w:b/>
              </w:rPr>
              <w:t>MAT 030</w:t>
            </w:r>
          </w:p>
        </w:tc>
        <w:tc>
          <w:tcPr>
            <w:tcW w:w="1130" w:type="pct"/>
            <w:tcMar>
              <w:top w:w="0" w:type="dxa"/>
              <w:left w:w="108" w:type="dxa"/>
              <w:bottom w:w="0" w:type="dxa"/>
              <w:right w:w="108" w:type="dxa"/>
            </w:tcMar>
            <w:vAlign w:val="center"/>
          </w:tcPr>
          <w:p w:rsidR="00C00C20" w:rsidRPr="00B851C8" w:rsidRDefault="00C00C20" w:rsidP="005E7A69">
            <w:pPr>
              <w:jc w:val="right"/>
              <w:rPr>
                <w:rFonts w:cs="Tahoma"/>
                <w:color w:val="000000"/>
              </w:rPr>
            </w:pPr>
            <w:r>
              <w:rPr>
                <w:rFonts w:ascii="Calibri" w:hAnsi="Calibri"/>
                <w:color w:val="000000"/>
              </w:rPr>
              <w:t>7,161</w:t>
            </w:r>
          </w:p>
        </w:tc>
        <w:tc>
          <w:tcPr>
            <w:tcW w:w="1438" w:type="pct"/>
            <w:tcMar>
              <w:top w:w="0" w:type="dxa"/>
              <w:left w:w="108" w:type="dxa"/>
              <w:bottom w:w="0" w:type="dxa"/>
              <w:right w:w="108" w:type="dxa"/>
            </w:tcMar>
            <w:vAlign w:val="center"/>
          </w:tcPr>
          <w:p w:rsidR="00C00C20" w:rsidRPr="00B851C8" w:rsidRDefault="00C00C20" w:rsidP="005E7A69">
            <w:pPr>
              <w:jc w:val="right"/>
              <w:rPr>
                <w:rFonts w:cs="Tahoma"/>
                <w:color w:val="000000"/>
              </w:rPr>
            </w:pPr>
            <w:r>
              <w:rPr>
                <w:rFonts w:ascii="Calibri" w:hAnsi="Calibri"/>
                <w:color w:val="000000"/>
              </w:rPr>
              <w:t>4,638 (65%)</w:t>
            </w:r>
          </w:p>
        </w:tc>
        <w:tc>
          <w:tcPr>
            <w:tcW w:w="1291" w:type="pct"/>
            <w:vAlign w:val="center"/>
          </w:tcPr>
          <w:p w:rsidR="00C00C20" w:rsidRPr="00B851C8" w:rsidRDefault="00C00C20" w:rsidP="005E7A69">
            <w:pPr>
              <w:ind w:left="71"/>
              <w:jc w:val="right"/>
              <w:rPr>
                <w:color w:val="000000"/>
              </w:rPr>
            </w:pPr>
            <w:r w:rsidRPr="00B851C8">
              <w:rPr>
                <w:color w:val="000000"/>
              </w:rPr>
              <w:t>216 (5%)</w:t>
            </w:r>
          </w:p>
        </w:tc>
      </w:tr>
      <w:tr w:rsidR="00C00C20" w:rsidRPr="00396A58" w:rsidTr="00814AB7">
        <w:trPr>
          <w:trHeight w:val="470"/>
        </w:trPr>
        <w:tc>
          <w:tcPr>
            <w:tcW w:w="1141" w:type="pct"/>
            <w:tcMar>
              <w:top w:w="0" w:type="dxa"/>
              <w:left w:w="108" w:type="dxa"/>
              <w:bottom w:w="0" w:type="dxa"/>
              <w:right w:w="108" w:type="dxa"/>
            </w:tcMar>
          </w:tcPr>
          <w:p w:rsidR="00C00C20" w:rsidRPr="00396A58" w:rsidRDefault="00C00C20" w:rsidP="00B851C8">
            <w:pPr>
              <w:rPr>
                <w:rFonts w:eastAsiaTheme="minorHAnsi"/>
                <w:b/>
              </w:rPr>
            </w:pPr>
            <w:r w:rsidRPr="00396A58">
              <w:rPr>
                <w:b/>
              </w:rPr>
              <w:t>MAT 060</w:t>
            </w:r>
          </w:p>
        </w:tc>
        <w:tc>
          <w:tcPr>
            <w:tcW w:w="1130" w:type="pct"/>
            <w:tcMar>
              <w:top w:w="0" w:type="dxa"/>
              <w:left w:w="108" w:type="dxa"/>
              <w:bottom w:w="0" w:type="dxa"/>
              <w:right w:w="108" w:type="dxa"/>
            </w:tcMar>
            <w:vAlign w:val="center"/>
          </w:tcPr>
          <w:p w:rsidR="00C00C20" w:rsidRPr="00B851C8" w:rsidRDefault="00C00C20" w:rsidP="005E7A69">
            <w:pPr>
              <w:jc w:val="right"/>
              <w:rPr>
                <w:rFonts w:cs="Tahoma"/>
                <w:color w:val="000000"/>
              </w:rPr>
            </w:pPr>
            <w:r>
              <w:rPr>
                <w:rFonts w:ascii="Calibri" w:hAnsi="Calibri"/>
                <w:color w:val="000000"/>
              </w:rPr>
              <w:t>8,570</w:t>
            </w:r>
          </w:p>
        </w:tc>
        <w:tc>
          <w:tcPr>
            <w:tcW w:w="1438" w:type="pct"/>
            <w:tcMar>
              <w:top w:w="0" w:type="dxa"/>
              <w:left w:w="108" w:type="dxa"/>
              <w:bottom w:w="0" w:type="dxa"/>
              <w:right w:w="108" w:type="dxa"/>
            </w:tcMar>
            <w:vAlign w:val="center"/>
          </w:tcPr>
          <w:p w:rsidR="00C00C20" w:rsidRPr="00B851C8" w:rsidRDefault="00C00C20" w:rsidP="005E7A69">
            <w:pPr>
              <w:jc w:val="right"/>
              <w:rPr>
                <w:rFonts w:cs="Tahoma"/>
                <w:color w:val="000000"/>
              </w:rPr>
            </w:pPr>
            <w:r>
              <w:rPr>
                <w:rFonts w:ascii="Calibri" w:hAnsi="Calibri"/>
                <w:color w:val="000000"/>
              </w:rPr>
              <w:t>5,848 (68%)</w:t>
            </w:r>
          </w:p>
        </w:tc>
        <w:tc>
          <w:tcPr>
            <w:tcW w:w="1291" w:type="pct"/>
            <w:vAlign w:val="center"/>
          </w:tcPr>
          <w:p w:rsidR="00C00C20" w:rsidRPr="00B851C8" w:rsidRDefault="00C00C20" w:rsidP="005E7A69">
            <w:pPr>
              <w:ind w:left="71"/>
              <w:jc w:val="right"/>
              <w:rPr>
                <w:color w:val="000000"/>
              </w:rPr>
            </w:pPr>
            <w:r w:rsidRPr="00B851C8">
              <w:rPr>
                <w:color w:val="000000"/>
              </w:rPr>
              <w:t>742 (13%)</w:t>
            </w:r>
          </w:p>
        </w:tc>
      </w:tr>
      <w:tr w:rsidR="00C00C20" w:rsidRPr="00396A58" w:rsidTr="00814AB7">
        <w:trPr>
          <w:trHeight w:val="470"/>
        </w:trPr>
        <w:tc>
          <w:tcPr>
            <w:tcW w:w="1141" w:type="pct"/>
            <w:tcMar>
              <w:top w:w="0" w:type="dxa"/>
              <w:left w:w="108" w:type="dxa"/>
              <w:bottom w:w="0" w:type="dxa"/>
              <w:right w:w="108" w:type="dxa"/>
            </w:tcMar>
          </w:tcPr>
          <w:p w:rsidR="00C00C20" w:rsidRPr="00396A58" w:rsidRDefault="00C00C20" w:rsidP="00B851C8">
            <w:pPr>
              <w:rPr>
                <w:b/>
              </w:rPr>
            </w:pPr>
            <w:r w:rsidRPr="00396A58">
              <w:rPr>
                <w:b/>
              </w:rPr>
              <w:t>MAT 090</w:t>
            </w:r>
          </w:p>
        </w:tc>
        <w:tc>
          <w:tcPr>
            <w:tcW w:w="1130" w:type="pct"/>
            <w:tcMar>
              <w:top w:w="0" w:type="dxa"/>
              <w:left w:w="108" w:type="dxa"/>
              <w:bottom w:w="0" w:type="dxa"/>
              <w:right w:w="108" w:type="dxa"/>
            </w:tcMar>
            <w:vAlign w:val="center"/>
          </w:tcPr>
          <w:p w:rsidR="00C00C20" w:rsidRPr="00B851C8" w:rsidRDefault="00C00C20" w:rsidP="005E7A69">
            <w:pPr>
              <w:jc w:val="right"/>
              <w:rPr>
                <w:rFonts w:cs="Tahoma"/>
                <w:color w:val="000000"/>
              </w:rPr>
            </w:pPr>
            <w:r>
              <w:rPr>
                <w:rFonts w:ascii="Calibri" w:hAnsi="Calibri"/>
                <w:color w:val="000000"/>
              </w:rPr>
              <w:t>8,135</w:t>
            </w:r>
          </w:p>
        </w:tc>
        <w:tc>
          <w:tcPr>
            <w:tcW w:w="1438" w:type="pct"/>
            <w:tcMar>
              <w:top w:w="0" w:type="dxa"/>
              <w:left w:w="108" w:type="dxa"/>
              <w:bottom w:w="0" w:type="dxa"/>
              <w:right w:w="108" w:type="dxa"/>
            </w:tcMar>
            <w:vAlign w:val="center"/>
          </w:tcPr>
          <w:p w:rsidR="00C00C20" w:rsidRPr="00B851C8" w:rsidRDefault="00C00C20" w:rsidP="005E7A69">
            <w:pPr>
              <w:jc w:val="right"/>
              <w:rPr>
                <w:rFonts w:cs="Tahoma"/>
                <w:color w:val="000000"/>
              </w:rPr>
            </w:pPr>
            <w:r>
              <w:rPr>
                <w:rFonts w:ascii="Calibri" w:hAnsi="Calibri"/>
                <w:color w:val="000000"/>
              </w:rPr>
              <w:t>4,952 (61%)</w:t>
            </w:r>
          </w:p>
        </w:tc>
        <w:tc>
          <w:tcPr>
            <w:tcW w:w="1291" w:type="pct"/>
            <w:vAlign w:val="center"/>
          </w:tcPr>
          <w:p w:rsidR="00C00C20" w:rsidRPr="00B851C8" w:rsidRDefault="00C00C20" w:rsidP="005E7A69">
            <w:pPr>
              <w:ind w:left="71"/>
              <w:jc w:val="right"/>
              <w:rPr>
                <w:color w:val="000000"/>
              </w:rPr>
            </w:pPr>
            <w:r w:rsidRPr="00B851C8">
              <w:rPr>
                <w:color w:val="000000"/>
              </w:rPr>
              <w:t>1,219 (25%)</w:t>
            </w:r>
          </w:p>
        </w:tc>
      </w:tr>
      <w:tr w:rsidR="00C00C20" w:rsidRPr="00396A58" w:rsidTr="00814AB7">
        <w:trPr>
          <w:trHeight w:val="470"/>
        </w:trPr>
        <w:tc>
          <w:tcPr>
            <w:tcW w:w="1141" w:type="pct"/>
            <w:tcMar>
              <w:top w:w="0" w:type="dxa"/>
              <w:left w:w="108" w:type="dxa"/>
              <w:bottom w:w="0" w:type="dxa"/>
              <w:right w:w="108" w:type="dxa"/>
            </w:tcMar>
          </w:tcPr>
          <w:p w:rsidR="00C00C20" w:rsidRPr="00396A58" w:rsidRDefault="00C00C20" w:rsidP="00B851C8">
            <w:pPr>
              <w:rPr>
                <w:b/>
              </w:rPr>
            </w:pPr>
            <w:r>
              <w:rPr>
                <w:b/>
              </w:rPr>
              <w:t xml:space="preserve">MAT </w:t>
            </w:r>
            <w:r w:rsidRPr="00396A58">
              <w:rPr>
                <w:b/>
              </w:rPr>
              <w:t>099</w:t>
            </w:r>
          </w:p>
        </w:tc>
        <w:tc>
          <w:tcPr>
            <w:tcW w:w="1130" w:type="pct"/>
            <w:tcMar>
              <w:top w:w="0" w:type="dxa"/>
              <w:left w:w="108" w:type="dxa"/>
              <w:bottom w:w="0" w:type="dxa"/>
              <w:right w:w="108" w:type="dxa"/>
            </w:tcMar>
            <w:vAlign w:val="center"/>
          </w:tcPr>
          <w:p w:rsidR="00C00C20" w:rsidRPr="00B851C8" w:rsidRDefault="009F24DA" w:rsidP="005E7A69">
            <w:pPr>
              <w:jc w:val="right"/>
              <w:rPr>
                <w:rFonts w:cs="Tahoma"/>
                <w:color w:val="000000"/>
              </w:rPr>
            </w:pPr>
            <w:r>
              <w:rPr>
                <w:rFonts w:ascii="Calibri" w:hAnsi="Calibri"/>
                <w:color w:val="000000"/>
              </w:rPr>
              <w:t>636</w:t>
            </w:r>
          </w:p>
        </w:tc>
        <w:tc>
          <w:tcPr>
            <w:tcW w:w="1438" w:type="pct"/>
            <w:tcMar>
              <w:top w:w="0" w:type="dxa"/>
              <w:left w:w="108" w:type="dxa"/>
              <w:bottom w:w="0" w:type="dxa"/>
              <w:right w:w="108" w:type="dxa"/>
            </w:tcMar>
            <w:vAlign w:val="center"/>
          </w:tcPr>
          <w:p w:rsidR="00C00C20" w:rsidRPr="00B851C8" w:rsidRDefault="009F24DA" w:rsidP="009F24DA">
            <w:pPr>
              <w:jc w:val="right"/>
              <w:rPr>
                <w:rFonts w:cs="Tahoma"/>
                <w:color w:val="000000"/>
              </w:rPr>
            </w:pPr>
            <w:r>
              <w:rPr>
                <w:rFonts w:ascii="Calibri" w:hAnsi="Calibri"/>
                <w:color w:val="000000"/>
              </w:rPr>
              <w:t>309</w:t>
            </w:r>
            <w:r w:rsidR="00C00C20">
              <w:rPr>
                <w:rFonts w:ascii="Calibri" w:hAnsi="Calibri"/>
                <w:color w:val="000000"/>
              </w:rPr>
              <w:t xml:space="preserve"> (</w:t>
            </w:r>
            <w:r w:rsidR="00DA3DDC">
              <w:rPr>
                <w:rFonts w:ascii="Calibri" w:hAnsi="Calibri"/>
                <w:color w:val="000000"/>
              </w:rPr>
              <w:t>49</w:t>
            </w:r>
            <w:r w:rsidR="00C00C20">
              <w:rPr>
                <w:rFonts w:ascii="Calibri" w:hAnsi="Calibri"/>
                <w:color w:val="000000"/>
              </w:rPr>
              <w:t>%)</w:t>
            </w:r>
          </w:p>
        </w:tc>
        <w:tc>
          <w:tcPr>
            <w:tcW w:w="1291" w:type="pct"/>
            <w:vAlign w:val="center"/>
          </w:tcPr>
          <w:p w:rsidR="00C00C20" w:rsidRPr="00C00C20" w:rsidRDefault="00CB449B" w:rsidP="005E7A69">
            <w:pPr>
              <w:ind w:left="71"/>
              <w:jc w:val="right"/>
              <w:rPr>
                <w:rFonts w:cs="Tahoma"/>
                <w:color w:val="000000"/>
              </w:rPr>
            </w:pPr>
            <w:r>
              <w:rPr>
                <w:rFonts w:ascii="Calibri" w:hAnsi="Calibri"/>
                <w:bCs/>
                <w:color w:val="000000"/>
              </w:rPr>
              <w:t>167</w:t>
            </w:r>
            <w:r w:rsidR="00C00C20" w:rsidRPr="00C00C20">
              <w:rPr>
                <w:rFonts w:ascii="Calibri" w:hAnsi="Calibri"/>
                <w:bCs/>
                <w:color w:val="000000"/>
              </w:rPr>
              <w:t xml:space="preserve"> (</w:t>
            </w:r>
            <w:r>
              <w:rPr>
                <w:rFonts w:ascii="Calibri" w:hAnsi="Calibri"/>
                <w:bCs/>
                <w:color w:val="000000"/>
              </w:rPr>
              <w:t>54</w:t>
            </w:r>
            <w:r w:rsidR="00C00C20">
              <w:rPr>
                <w:rFonts w:ascii="Calibri" w:hAnsi="Calibri"/>
                <w:bCs/>
                <w:color w:val="000000"/>
              </w:rPr>
              <w:t>%</w:t>
            </w:r>
            <w:r w:rsidR="00C00C20" w:rsidRPr="00C00C20">
              <w:rPr>
                <w:rFonts w:ascii="Calibri" w:hAnsi="Calibri"/>
                <w:bCs/>
                <w:color w:val="000000"/>
              </w:rPr>
              <w:t>)</w:t>
            </w:r>
          </w:p>
        </w:tc>
      </w:tr>
      <w:tr w:rsidR="00C00C20" w:rsidRPr="00396A58" w:rsidTr="00814AB7">
        <w:trPr>
          <w:trHeight w:val="470"/>
        </w:trPr>
        <w:tc>
          <w:tcPr>
            <w:tcW w:w="1141" w:type="pct"/>
            <w:tcMar>
              <w:top w:w="0" w:type="dxa"/>
              <w:left w:w="108" w:type="dxa"/>
              <w:bottom w:w="0" w:type="dxa"/>
              <w:right w:w="108" w:type="dxa"/>
            </w:tcMar>
          </w:tcPr>
          <w:p w:rsidR="00C00C20" w:rsidRPr="00396A58" w:rsidRDefault="00C00C20" w:rsidP="00B851C8">
            <w:pPr>
              <w:rPr>
                <w:b/>
              </w:rPr>
            </w:pPr>
            <w:r w:rsidRPr="00396A58">
              <w:rPr>
                <w:b/>
              </w:rPr>
              <w:t>All Math</w:t>
            </w:r>
            <w:r w:rsidRPr="00396A58">
              <w:rPr>
                <w:rStyle w:val="FootnoteReference"/>
                <w:b/>
              </w:rPr>
              <w:footnoteReference w:id="6"/>
            </w:r>
          </w:p>
        </w:tc>
        <w:tc>
          <w:tcPr>
            <w:tcW w:w="1130" w:type="pct"/>
            <w:tcMar>
              <w:top w:w="0" w:type="dxa"/>
              <w:left w:w="108" w:type="dxa"/>
              <w:bottom w:w="0" w:type="dxa"/>
              <w:right w:w="108" w:type="dxa"/>
            </w:tcMar>
            <w:vAlign w:val="center"/>
          </w:tcPr>
          <w:p w:rsidR="00C00C20" w:rsidRPr="00B851C8" w:rsidRDefault="009F24DA" w:rsidP="005E7A69">
            <w:pPr>
              <w:jc w:val="right"/>
              <w:rPr>
                <w:color w:val="000000"/>
              </w:rPr>
            </w:pPr>
            <w:r>
              <w:rPr>
                <w:color w:val="000000"/>
              </w:rPr>
              <w:t>19,107</w:t>
            </w:r>
          </w:p>
        </w:tc>
        <w:tc>
          <w:tcPr>
            <w:tcW w:w="1438" w:type="pct"/>
            <w:tcMar>
              <w:top w:w="0" w:type="dxa"/>
              <w:left w:w="108" w:type="dxa"/>
              <w:bottom w:w="0" w:type="dxa"/>
              <w:right w:w="108" w:type="dxa"/>
            </w:tcMar>
            <w:vAlign w:val="center"/>
          </w:tcPr>
          <w:p w:rsidR="00C00C20" w:rsidRPr="00C00C20" w:rsidRDefault="009F24DA" w:rsidP="009F24DA">
            <w:pPr>
              <w:jc w:val="right"/>
              <w:rPr>
                <w:rFonts w:ascii="Tahoma" w:hAnsi="Tahoma" w:cs="Tahoma"/>
                <w:color w:val="000000"/>
                <w:sz w:val="20"/>
                <w:szCs w:val="20"/>
              </w:rPr>
            </w:pPr>
            <w:r w:rsidRPr="009F24DA">
              <w:rPr>
                <w:color w:val="000000"/>
              </w:rPr>
              <w:t>12,343</w:t>
            </w:r>
            <w:r>
              <w:rPr>
                <w:color w:val="000000"/>
              </w:rPr>
              <w:t xml:space="preserve"> </w:t>
            </w:r>
            <w:r w:rsidR="00C00C20">
              <w:rPr>
                <w:rFonts w:ascii="Calibri" w:hAnsi="Calibri"/>
                <w:color w:val="000000"/>
              </w:rPr>
              <w:t>(</w:t>
            </w:r>
            <w:r w:rsidR="00DA3DDC">
              <w:rPr>
                <w:rFonts w:ascii="Calibri" w:hAnsi="Calibri"/>
                <w:color w:val="000000"/>
              </w:rPr>
              <w:t>65</w:t>
            </w:r>
            <w:r w:rsidR="00C00C20">
              <w:rPr>
                <w:rFonts w:ascii="Calibri" w:hAnsi="Calibri"/>
                <w:color w:val="000000"/>
              </w:rPr>
              <w:t>%)</w:t>
            </w:r>
          </w:p>
        </w:tc>
        <w:tc>
          <w:tcPr>
            <w:tcW w:w="1291" w:type="pct"/>
            <w:vAlign w:val="center"/>
          </w:tcPr>
          <w:p w:rsidR="00C00C20" w:rsidRPr="00C00C20" w:rsidRDefault="00DA3DDC" w:rsidP="00DA3DDC">
            <w:pPr>
              <w:ind w:left="71"/>
              <w:jc w:val="right"/>
              <w:rPr>
                <w:bCs/>
                <w:color w:val="000000"/>
              </w:rPr>
            </w:pPr>
            <w:r>
              <w:rPr>
                <w:rFonts w:ascii="Calibri" w:hAnsi="Calibri"/>
                <w:bCs/>
                <w:color w:val="000000"/>
              </w:rPr>
              <w:t>1,954</w:t>
            </w:r>
            <w:r w:rsidR="00C00C20" w:rsidRPr="00C00C20">
              <w:rPr>
                <w:rFonts w:ascii="Calibri" w:hAnsi="Calibri"/>
                <w:bCs/>
                <w:color w:val="000000"/>
              </w:rPr>
              <w:t xml:space="preserve"> (</w:t>
            </w:r>
            <w:r>
              <w:rPr>
                <w:rFonts w:ascii="Calibri" w:hAnsi="Calibri"/>
                <w:bCs/>
                <w:color w:val="000000"/>
              </w:rPr>
              <w:t>16</w:t>
            </w:r>
            <w:r w:rsidR="00C00C20">
              <w:rPr>
                <w:rFonts w:ascii="Calibri" w:hAnsi="Calibri"/>
                <w:bCs/>
                <w:color w:val="000000"/>
              </w:rPr>
              <w:t>%</w:t>
            </w:r>
            <w:r w:rsidR="00C00C20" w:rsidRPr="00C00C20">
              <w:rPr>
                <w:rFonts w:ascii="Calibri" w:hAnsi="Calibri"/>
                <w:bCs/>
                <w:color w:val="000000"/>
              </w:rPr>
              <w:t>)</w:t>
            </w:r>
          </w:p>
        </w:tc>
      </w:tr>
    </w:tbl>
    <w:p w:rsidR="005526B3" w:rsidRPr="00396A58" w:rsidRDefault="00823F72" w:rsidP="00332AE2">
      <w:pPr>
        <w:rPr>
          <w:rFonts w:eastAsia="Times New Roman"/>
          <w:color w:val="1C1C19"/>
        </w:rPr>
      </w:pPr>
      <w:r w:rsidRPr="00396A58">
        <w:rPr>
          <w:rFonts w:eastAsia="Times New Roman"/>
          <w:color w:val="1C1C19"/>
        </w:rPr>
        <w:t>The Math redesign built</w:t>
      </w:r>
      <w:r w:rsidR="005526B3" w:rsidRPr="00396A58">
        <w:rPr>
          <w:rFonts w:eastAsia="Times New Roman"/>
          <w:color w:val="1C1C19"/>
        </w:rPr>
        <w:t xml:space="preserve"> pathways for students based on the career and educational goals of the students. Many students—based on their degree plans—need a non-transfer, career math course. Other students benefit from a college</w:t>
      </w:r>
      <w:r w:rsidR="00E4125B" w:rsidRPr="00396A58">
        <w:rPr>
          <w:rFonts w:eastAsia="Times New Roman"/>
          <w:color w:val="1C1C19"/>
        </w:rPr>
        <w:t>-</w:t>
      </w:r>
      <w:r w:rsidR="005526B3" w:rsidRPr="00396A58">
        <w:rPr>
          <w:rFonts w:eastAsia="Times New Roman"/>
          <w:color w:val="1C1C19"/>
        </w:rPr>
        <w:t xml:space="preserve">level transfer course like Math for Liberal Arts or Statistics. The math these students need is different from the math </w:t>
      </w:r>
      <w:r w:rsidR="00842455" w:rsidRPr="00396A58">
        <w:rPr>
          <w:rFonts w:eastAsia="Times New Roman"/>
          <w:color w:val="1C1C19"/>
        </w:rPr>
        <w:t xml:space="preserve">necessary </w:t>
      </w:r>
      <w:r w:rsidR="005879AE" w:rsidRPr="00396A58">
        <w:rPr>
          <w:rFonts w:eastAsia="Times New Roman"/>
          <w:color w:val="1C1C19"/>
        </w:rPr>
        <w:t>t</w:t>
      </w:r>
      <w:r w:rsidR="00842455" w:rsidRPr="00396A58">
        <w:rPr>
          <w:rFonts w:eastAsia="Times New Roman"/>
          <w:color w:val="1C1C19"/>
        </w:rPr>
        <w:t>o succeed in</w:t>
      </w:r>
      <w:r w:rsidR="005526B3" w:rsidRPr="00396A58">
        <w:rPr>
          <w:rFonts w:eastAsia="Times New Roman"/>
          <w:color w:val="1C1C19"/>
        </w:rPr>
        <w:t xml:space="preserve"> a science, technology, energy, or math (STEM) </w:t>
      </w:r>
      <w:r w:rsidR="006444E2" w:rsidRPr="00396A58">
        <w:rPr>
          <w:rFonts w:eastAsia="Times New Roman"/>
          <w:color w:val="1C1C19"/>
        </w:rPr>
        <w:t>degree</w:t>
      </w:r>
      <w:r w:rsidR="00C6256D" w:rsidRPr="00396A58">
        <w:rPr>
          <w:rFonts w:eastAsia="Times New Roman"/>
          <w:color w:val="1C1C19"/>
        </w:rPr>
        <w:t xml:space="preserve"> which generally require algebra and then calculus</w:t>
      </w:r>
      <w:r w:rsidR="005526B3" w:rsidRPr="00396A58">
        <w:rPr>
          <w:rFonts w:eastAsia="Times New Roman"/>
          <w:color w:val="1C1C19"/>
        </w:rPr>
        <w:t>. Therefore</w:t>
      </w:r>
      <w:r w:rsidR="00CE4F68" w:rsidRPr="00396A58">
        <w:rPr>
          <w:rFonts w:eastAsia="Times New Roman"/>
          <w:color w:val="1C1C19"/>
        </w:rPr>
        <w:t>,</w:t>
      </w:r>
      <w:r w:rsidR="005526B3" w:rsidRPr="00396A58">
        <w:rPr>
          <w:rFonts w:eastAsia="Times New Roman"/>
          <w:color w:val="1C1C19"/>
        </w:rPr>
        <w:t xml:space="preserve"> the developmental </w:t>
      </w:r>
      <w:r w:rsidR="00C6256D" w:rsidRPr="00396A58">
        <w:rPr>
          <w:rFonts w:eastAsia="Times New Roman"/>
          <w:color w:val="1C1C19"/>
        </w:rPr>
        <w:t xml:space="preserve">preparation </w:t>
      </w:r>
      <w:r w:rsidR="005526B3" w:rsidRPr="00396A58">
        <w:rPr>
          <w:rFonts w:eastAsia="Times New Roman"/>
          <w:color w:val="1C1C19"/>
        </w:rPr>
        <w:t xml:space="preserve">courses that these students take should also be different.  </w:t>
      </w:r>
    </w:p>
    <w:p w:rsidR="00555947" w:rsidRPr="00396A58" w:rsidRDefault="005526B3" w:rsidP="00332AE2">
      <w:pPr>
        <w:rPr>
          <w:rFonts w:eastAsia="Times New Roman"/>
          <w:color w:val="1C1C19"/>
        </w:rPr>
      </w:pPr>
      <w:r w:rsidRPr="00396A58">
        <w:rPr>
          <w:rFonts w:eastAsia="Times New Roman"/>
          <w:color w:val="1C1C19"/>
        </w:rPr>
        <w:lastRenderedPageBreak/>
        <w:t xml:space="preserve">To meet this need, the Colorado redesign offers two different developmental courses for math. </w:t>
      </w:r>
      <w:r w:rsidR="00555947" w:rsidRPr="00396A58">
        <w:rPr>
          <w:rFonts w:eastAsia="Times New Roman"/>
          <w:color w:val="1C1C19"/>
        </w:rPr>
        <w:t xml:space="preserve">One option is a </w:t>
      </w:r>
      <w:r w:rsidRPr="00396A58">
        <w:rPr>
          <w:rFonts w:eastAsia="Times New Roman"/>
          <w:color w:val="1C1C19"/>
        </w:rPr>
        <w:t>Quantitative Literacy class (MAT 050</w:t>
      </w:r>
      <w:r w:rsidR="00B44CF6" w:rsidRPr="00396A58">
        <w:rPr>
          <w:rFonts w:eastAsia="Times New Roman"/>
          <w:color w:val="1C1C19"/>
        </w:rPr>
        <w:t xml:space="preserve">) </w:t>
      </w:r>
      <w:r w:rsidR="00B56633" w:rsidRPr="00396A58">
        <w:rPr>
          <w:rFonts w:eastAsia="Times New Roman"/>
          <w:color w:val="1C1C19"/>
        </w:rPr>
        <w:t>designed to</w:t>
      </w:r>
      <w:r w:rsidRPr="00396A58">
        <w:rPr>
          <w:rFonts w:eastAsia="Times New Roman"/>
          <w:color w:val="1C1C19"/>
        </w:rPr>
        <w:t xml:space="preserve"> develop skills students need to be successful in either a non-transfer career math course or </w:t>
      </w:r>
      <w:r w:rsidR="00B56633" w:rsidRPr="00396A58">
        <w:rPr>
          <w:rFonts w:eastAsia="Times New Roman"/>
          <w:color w:val="1C1C19"/>
        </w:rPr>
        <w:t>in a t</w:t>
      </w:r>
      <w:r w:rsidRPr="00396A58">
        <w:rPr>
          <w:rFonts w:eastAsia="Times New Roman"/>
          <w:color w:val="1C1C19"/>
        </w:rPr>
        <w:t>ransfer</w:t>
      </w:r>
      <w:r w:rsidR="00B56633" w:rsidRPr="00396A58">
        <w:rPr>
          <w:rFonts w:eastAsia="Times New Roman"/>
          <w:color w:val="1C1C19"/>
        </w:rPr>
        <w:t>able</w:t>
      </w:r>
      <w:r w:rsidRPr="00396A58">
        <w:rPr>
          <w:rFonts w:eastAsia="Times New Roman"/>
          <w:color w:val="1C1C19"/>
        </w:rPr>
        <w:t xml:space="preserve"> but non-</w:t>
      </w:r>
      <w:r w:rsidR="000C7DA7" w:rsidRPr="00396A58">
        <w:rPr>
          <w:rFonts w:eastAsia="Times New Roman"/>
          <w:color w:val="1C1C19"/>
        </w:rPr>
        <w:t>STEM</w:t>
      </w:r>
      <w:r w:rsidRPr="00396A58">
        <w:rPr>
          <w:rFonts w:eastAsia="Times New Roman"/>
          <w:color w:val="1C1C19"/>
        </w:rPr>
        <w:t xml:space="preserve"> math course. The second </w:t>
      </w:r>
      <w:r w:rsidR="00555947" w:rsidRPr="00396A58">
        <w:rPr>
          <w:rFonts w:eastAsia="Times New Roman"/>
          <w:color w:val="1C1C19"/>
        </w:rPr>
        <w:t xml:space="preserve">option is </w:t>
      </w:r>
      <w:r w:rsidRPr="00396A58">
        <w:rPr>
          <w:rFonts w:eastAsia="Times New Roman"/>
          <w:color w:val="1C1C19"/>
        </w:rPr>
        <w:t>a</w:t>
      </w:r>
      <w:r w:rsidR="00555947" w:rsidRPr="00396A58">
        <w:rPr>
          <w:rFonts w:eastAsia="Times New Roman"/>
          <w:color w:val="1C1C19"/>
        </w:rPr>
        <w:t>n</w:t>
      </w:r>
      <w:r w:rsidRPr="00396A58">
        <w:rPr>
          <w:rFonts w:eastAsia="Times New Roman"/>
          <w:color w:val="1C1C19"/>
        </w:rPr>
        <w:t xml:space="preserve"> Algebraic </w:t>
      </w:r>
      <w:r w:rsidR="00686402" w:rsidRPr="00396A58">
        <w:rPr>
          <w:rFonts w:eastAsia="Times New Roman"/>
          <w:color w:val="1C1C19"/>
        </w:rPr>
        <w:t>L</w:t>
      </w:r>
      <w:r w:rsidRPr="00396A58">
        <w:rPr>
          <w:rFonts w:eastAsia="Times New Roman"/>
          <w:color w:val="1C1C19"/>
        </w:rPr>
        <w:t>iteracy course (MAT 055) for students who need College Algebra either because they are pursuing a STEM path or because their programs of</w:t>
      </w:r>
      <w:r w:rsidR="00555947" w:rsidRPr="00396A58">
        <w:rPr>
          <w:rFonts w:eastAsia="Times New Roman"/>
          <w:color w:val="1C1C19"/>
        </w:rPr>
        <w:t xml:space="preserve"> study require </w:t>
      </w:r>
      <w:r w:rsidR="00686402" w:rsidRPr="00396A58">
        <w:rPr>
          <w:rFonts w:eastAsia="Times New Roman"/>
          <w:color w:val="1C1C19"/>
        </w:rPr>
        <w:t>C</w:t>
      </w:r>
      <w:r w:rsidR="00555947" w:rsidRPr="00396A58">
        <w:rPr>
          <w:rFonts w:eastAsia="Times New Roman"/>
          <w:color w:val="1C1C19"/>
        </w:rPr>
        <w:t xml:space="preserve">ollege </w:t>
      </w:r>
      <w:r w:rsidR="00686402" w:rsidRPr="00396A58">
        <w:rPr>
          <w:rFonts w:eastAsia="Times New Roman"/>
          <w:color w:val="1C1C19"/>
        </w:rPr>
        <w:t>A</w:t>
      </w:r>
      <w:r w:rsidR="00555947" w:rsidRPr="00396A58">
        <w:rPr>
          <w:rFonts w:eastAsia="Times New Roman"/>
          <w:color w:val="1C1C19"/>
        </w:rPr>
        <w:t>lgebra.</w:t>
      </w:r>
    </w:p>
    <w:p w:rsidR="008F730E" w:rsidRPr="00396A58" w:rsidRDefault="00823F72">
      <w:pPr>
        <w:rPr>
          <w:b/>
        </w:rPr>
      </w:pPr>
      <w:r w:rsidRPr="00396A58">
        <w:rPr>
          <w:b/>
        </w:rPr>
        <w:t xml:space="preserve">Table </w:t>
      </w:r>
      <w:r w:rsidR="008E2E39">
        <w:rPr>
          <w:b/>
        </w:rPr>
        <w:t>11</w:t>
      </w:r>
      <w:r w:rsidRPr="00396A58">
        <w:rPr>
          <w:b/>
        </w:rPr>
        <w:t xml:space="preserve"> </w:t>
      </w:r>
      <w:r w:rsidRPr="00396A58">
        <w:t xml:space="preserve">tracks the outcomes of the AY2014-2015 students who enrolled </w:t>
      </w:r>
      <w:r w:rsidR="005358C9">
        <w:t xml:space="preserve">in </w:t>
      </w:r>
      <w:r w:rsidR="00283CE4" w:rsidRPr="00396A58">
        <w:t>redesigned math courses</w:t>
      </w:r>
      <w:r w:rsidRPr="00396A58">
        <w:t>. Outcomes include successful completion of the developmental course, enrollment in a college-level math course, and success in the college-level course through the subsequent semester, summer 2015.</w:t>
      </w:r>
    </w:p>
    <w:p w:rsidR="00455A6B" w:rsidRPr="00396A58" w:rsidRDefault="00DE1CA8" w:rsidP="0045223A">
      <w:pPr>
        <w:spacing w:after="0"/>
        <w:rPr>
          <w:b/>
        </w:rPr>
      </w:pPr>
      <w:r w:rsidRPr="00396A58">
        <w:rPr>
          <w:b/>
        </w:rPr>
        <w:t xml:space="preserve">Table </w:t>
      </w:r>
      <w:r w:rsidR="008E2E39">
        <w:rPr>
          <w:b/>
        </w:rPr>
        <w:t>11</w:t>
      </w:r>
      <w:r w:rsidR="00455A6B" w:rsidRPr="00396A58">
        <w:rPr>
          <w:b/>
        </w:rPr>
        <w:t xml:space="preserve">. </w:t>
      </w:r>
      <w:r w:rsidR="004B072F" w:rsidRPr="00396A58">
        <w:rPr>
          <w:b/>
        </w:rPr>
        <w:t xml:space="preserve"> </w:t>
      </w:r>
      <w:r w:rsidR="00601159" w:rsidRPr="00396A58">
        <w:rPr>
          <w:b/>
        </w:rPr>
        <w:t>Completion</w:t>
      </w:r>
      <w:r w:rsidR="000C6FF2" w:rsidRPr="00396A58">
        <w:rPr>
          <w:b/>
        </w:rPr>
        <w:t xml:space="preserve"> </w:t>
      </w:r>
      <w:r w:rsidR="00601159" w:rsidRPr="00396A58">
        <w:rPr>
          <w:b/>
        </w:rPr>
        <w:t>of C</w:t>
      </w:r>
      <w:r w:rsidR="008E2E39">
        <w:rPr>
          <w:b/>
        </w:rPr>
        <w:t>ollege-</w:t>
      </w:r>
      <w:r w:rsidR="00FA4241" w:rsidRPr="00396A58">
        <w:rPr>
          <w:b/>
        </w:rPr>
        <w:t>Level Math Course</w:t>
      </w:r>
      <w:r w:rsidR="00601159" w:rsidRPr="00396A58">
        <w:rPr>
          <w:b/>
        </w:rPr>
        <w:t xml:space="preserve">s </w:t>
      </w:r>
      <w:r w:rsidR="00FE1126" w:rsidRPr="00396A58">
        <w:rPr>
          <w:b/>
        </w:rPr>
        <w:t xml:space="preserve">by Summer 2015 </w:t>
      </w:r>
      <w:r w:rsidR="00601159" w:rsidRPr="00396A58">
        <w:rPr>
          <w:b/>
        </w:rPr>
        <w:t xml:space="preserve">for </w:t>
      </w:r>
      <w:r w:rsidR="00455A6B" w:rsidRPr="00396A58">
        <w:rPr>
          <w:b/>
        </w:rPr>
        <w:t>Students Enrolled in R</w:t>
      </w:r>
      <w:r w:rsidR="002B1DAF" w:rsidRPr="00396A58">
        <w:rPr>
          <w:b/>
        </w:rPr>
        <w:t xml:space="preserve">edesigned MAT </w:t>
      </w:r>
      <w:r w:rsidR="005E40F2" w:rsidRPr="00396A58">
        <w:rPr>
          <w:b/>
        </w:rPr>
        <w:t>Courses in</w:t>
      </w:r>
      <w:r w:rsidR="002C69EA" w:rsidRPr="00396A58">
        <w:rPr>
          <w:b/>
        </w:rPr>
        <w:t xml:space="preserve"> 2014-2015.</w:t>
      </w:r>
    </w:p>
    <w:tbl>
      <w:tblPr>
        <w:tblpPr w:leftFromText="180" w:rightFromText="180" w:bottomFromText="155" w:vertAnchor="text"/>
        <w:tblW w:w="4863"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66"/>
        <w:gridCol w:w="2452"/>
        <w:gridCol w:w="2676"/>
        <w:gridCol w:w="2565"/>
      </w:tblGrid>
      <w:tr w:rsidR="007F264F" w:rsidRPr="00396A58" w:rsidTr="00814AB7">
        <w:trPr>
          <w:trHeight w:val="1334"/>
        </w:trPr>
        <w:tc>
          <w:tcPr>
            <w:tcW w:w="1176" w:type="pct"/>
            <w:tcMar>
              <w:top w:w="0" w:type="dxa"/>
              <w:left w:w="108" w:type="dxa"/>
              <w:bottom w:w="0" w:type="dxa"/>
              <w:right w:w="108" w:type="dxa"/>
            </w:tcMar>
            <w:hideMark/>
          </w:tcPr>
          <w:p w:rsidR="007F264F" w:rsidRPr="00396A58" w:rsidRDefault="007F264F" w:rsidP="001C4432">
            <w:pPr>
              <w:spacing w:after="0"/>
              <w:rPr>
                <w:rFonts w:eastAsiaTheme="minorHAnsi"/>
                <w:b/>
                <w:bCs/>
              </w:rPr>
            </w:pPr>
            <w:r w:rsidRPr="00396A58">
              <w:rPr>
                <w:b/>
                <w:bCs/>
              </w:rPr>
              <w:t xml:space="preserve">Course </w:t>
            </w:r>
          </w:p>
        </w:tc>
        <w:tc>
          <w:tcPr>
            <w:tcW w:w="1219" w:type="pct"/>
            <w:tcMar>
              <w:top w:w="0" w:type="dxa"/>
              <w:left w:w="108" w:type="dxa"/>
              <w:bottom w:w="0" w:type="dxa"/>
              <w:right w:w="108" w:type="dxa"/>
            </w:tcMar>
            <w:hideMark/>
          </w:tcPr>
          <w:p w:rsidR="007F264F" w:rsidRPr="00396A58" w:rsidRDefault="007F264F" w:rsidP="00BF5ED3">
            <w:pPr>
              <w:rPr>
                <w:rFonts w:eastAsiaTheme="minorHAnsi"/>
                <w:b/>
                <w:bCs/>
              </w:rPr>
            </w:pPr>
            <w:r w:rsidRPr="00396A58">
              <w:rPr>
                <w:b/>
                <w:bCs/>
              </w:rPr>
              <w:t xml:space="preserve">Students enrolled in </w:t>
            </w:r>
            <w:r w:rsidR="00E50938">
              <w:rPr>
                <w:b/>
                <w:bCs/>
              </w:rPr>
              <w:t xml:space="preserve">developmental </w:t>
            </w:r>
            <w:r w:rsidRPr="00396A58">
              <w:rPr>
                <w:b/>
                <w:bCs/>
              </w:rPr>
              <w:t>course</w:t>
            </w:r>
          </w:p>
        </w:tc>
        <w:tc>
          <w:tcPr>
            <w:tcW w:w="1330" w:type="pct"/>
            <w:tcMar>
              <w:top w:w="0" w:type="dxa"/>
              <w:left w:w="108" w:type="dxa"/>
              <w:bottom w:w="0" w:type="dxa"/>
              <w:right w:w="108" w:type="dxa"/>
            </w:tcMar>
            <w:hideMark/>
          </w:tcPr>
          <w:p w:rsidR="007F264F" w:rsidRPr="00396A58" w:rsidRDefault="007F264F" w:rsidP="001C4432">
            <w:pPr>
              <w:spacing w:after="0"/>
              <w:rPr>
                <w:rFonts w:eastAsiaTheme="minorHAnsi"/>
                <w:b/>
                <w:bCs/>
              </w:rPr>
            </w:pPr>
            <w:r w:rsidRPr="00396A58">
              <w:rPr>
                <w:b/>
                <w:bCs/>
              </w:rPr>
              <w:t xml:space="preserve">…successfully completed the course </w:t>
            </w:r>
          </w:p>
        </w:tc>
        <w:tc>
          <w:tcPr>
            <w:tcW w:w="1275" w:type="pct"/>
          </w:tcPr>
          <w:p w:rsidR="007F264F" w:rsidRPr="00396A58" w:rsidRDefault="007F264F" w:rsidP="001C4432">
            <w:pPr>
              <w:spacing w:after="0"/>
              <w:rPr>
                <w:b/>
                <w:bCs/>
              </w:rPr>
            </w:pPr>
            <w:r w:rsidRPr="00396A58">
              <w:rPr>
                <w:b/>
                <w:bCs/>
              </w:rPr>
              <w:t xml:space="preserve">…successfully completed college level math course </w:t>
            </w:r>
          </w:p>
        </w:tc>
      </w:tr>
      <w:tr w:rsidR="005B6E28" w:rsidRPr="00396A58" w:rsidTr="00814AB7">
        <w:trPr>
          <w:trHeight w:val="473"/>
        </w:trPr>
        <w:tc>
          <w:tcPr>
            <w:tcW w:w="1176" w:type="pct"/>
            <w:tcMar>
              <w:top w:w="0" w:type="dxa"/>
              <w:left w:w="108" w:type="dxa"/>
              <w:bottom w:w="0" w:type="dxa"/>
              <w:right w:w="108" w:type="dxa"/>
            </w:tcMar>
          </w:tcPr>
          <w:p w:rsidR="005B6E28" w:rsidRPr="00396A58" w:rsidRDefault="005B6E28" w:rsidP="00047FA9">
            <w:pPr>
              <w:spacing w:after="0" w:line="240" w:lineRule="auto"/>
              <w:rPr>
                <w:b/>
              </w:rPr>
            </w:pPr>
            <w:r>
              <w:rPr>
                <w:b/>
              </w:rPr>
              <w:t xml:space="preserve">MAT 025 </w:t>
            </w:r>
          </w:p>
        </w:tc>
        <w:tc>
          <w:tcPr>
            <w:tcW w:w="1219" w:type="pct"/>
            <w:tcMar>
              <w:top w:w="0" w:type="dxa"/>
              <w:left w:w="108" w:type="dxa"/>
              <w:bottom w:w="0" w:type="dxa"/>
              <w:right w:w="108" w:type="dxa"/>
            </w:tcMar>
            <w:vAlign w:val="center"/>
          </w:tcPr>
          <w:p w:rsidR="005B6E28" w:rsidRPr="00D14FFD" w:rsidDel="00B55CAE" w:rsidRDefault="005B6E28" w:rsidP="005B6E28">
            <w:pPr>
              <w:jc w:val="right"/>
              <w:rPr>
                <w:rFonts w:cs="Tahoma"/>
                <w:color w:val="000000"/>
              </w:rPr>
            </w:pPr>
            <w:r w:rsidRPr="007F3C8B">
              <w:rPr>
                <w:rFonts w:cs="Tahoma"/>
                <w:color w:val="000000"/>
              </w:rPr>
              <w:t>1,593</w:t>
            </w:r>
          </w:p>
        </w:tc>
        <w:tc>
          <w:tcPr>
            <w:tcW w:w="1330" w:type="pct"/>
            <w:tcMar>
              <w:top w:w="0" w:type="dxa"/>
              <w:left w:w="108" w:type="dxa"/>
              <w:bottom w:w="0" w:type="dxa"/>
              <w:right w:w="108" w:type="dxa"/>
            </w:tcMar>
            <w:vAlign w:val="center"/>
          </w:tcPr>
          <w:p w:rsidR="005B6E28" w:rsidRPr="00D14FFD" w:rsidDel="00B55CAE" w:rsidRDefault="005B6E28" w:rsidP="005B6E28">
            <w:pPr>
              <w:jc w:val="right"/>
              <w:rPr>
                <w:rFonts w:cs="Tahoma"/>
                <w:color w:val="000000"/>
              </w:rPr>
            </w:pPr>
            <w:r>
              <w:rPr>
                <w:rFonts w:ascii="Calibri" w:hAnsi="Calibri"/>
                <w:color w:val="000000"/>
              </w:rPr>
              <w:t>1,045 (66%)</w:t>
            </w:r>
          </w:p>
        </w:tc>
        <w:tc>
          <w:tcPr>
            <w:tcW w:w="1275" w:type="pct"/>
            <w:vAlign w:val="center"/>
          </w:tcPr>
          <w:p w:rsidR="005B6E28" w:rsidRPr="00D14FFD" w:rsidDel="00B55CAE" w:rsidRDefault="005B6E28" w:rsidP="005B6E28">
            <w:pPr>
              <w:jc w:val="right"/>
              <w:rPr>
                <w:rFonts w:cs="Tahoma"/>
                <w:color w:val="000000"/>
              </w:rPr>
            </w:pPr>
            <w:r w:rsidRPr="00D14FFD">
              <w:rPr>
                <w:rFonts w:cs="Tahoma"/>
                <w:color w:val="000000"/>
              </w:rPr>
              <w:t>217 (21%)</w:t>
            </w:r>
          </w:p>
        </w:tc>
      </w:tr>
      <w:tr w:rsidR="005B6E28" w:rsidRPr="00396A58" w:rsidTr="00814AB7">
        <w:trPr>
          <w:trHeight w:val="473"/>
        </w:trPr>
        <w:tc>
          <w:tcPr>
            <w:tcW w:w="1176" w:type="pct"/>
            <w:tcMar>
              <w:top w:w="0" w:type="dxa"/>
              <w:left w:w="108" w:type="dxa"/>
              <w:bottom w:w="0" w:type="dxa"/>
              <w:right w:w="108" w:type="dxa"/>
            </w:tcMar>
          </w:tcPr>
          <w:p w:rsidR="005B6E28" w:rsidRPr="00396A58" w:rsidRDefault="005B6E28" w:rsidP="00851E93">
            <w:pPr>
              <w:spacing w:after="0" w:line="240" w:lineRule="auto"/>
              <w:rPr>
                <w:b/>
              </w:rPr>
            </w:pPr>
            <w:r w:rsidRPr="00396A58">
              <w:rPr>
                <w:b/>
              </w:rPr>
              <w:t>MAT 050</w:t>
            </w:r>
          </w:p>
          <w:p w:rsidR="005B6E28" w:rsidRPr="00396A58" w:rsidRDefault="005B6E28" w:rsidP="00851E93">
            <w:pPr>
              <w:spacing w:after="0" w:line="240" w:lineRule="auto"/>
              <w:rPr>
                <w:rFonts w:eastAsiaTheme="minorHAnsi"/>
                <w:b/>
              </w:rPr>
            </w:pPr>
          </w:p>
        </w:tc>
        <w:tc>
          <w:tcPr>
            <w:tcW w:w="1219" w:type="pct"/>
            <w:tcMar>
              <w:top w:w="0" w:type="dxa"/>
              <w:left w:w="108" w:type="dxa"/>
              <w:bottom w:w="0" w:type="dxa"/>
              <w:right w:w="108" w:type="dxa"/>
            </w:tcMar>
            <w:vAlign w:val="center"/>
          </w:tcPr>
          <w:p w:rsidR="005B6E28" w:rsidRPr="00D14FFD" w:rsidRDefault="005B6E28" w:rsidP="005B6E28">
            <w:pPr>
              <w:jc w:val="right"/>
              <w:rPr>
                <w:rFonts w:cs="Tahoma"/>
                <w:color w:val="000000"/>
              </w:rPr>
            </w:pPr>
            <w:r>
              <w:rPr>
                <w:rFonts w:ascii="Calibri" w:hAnsi="Calibri"/>
                <w:color w:val="000000"/>
              </w:rPr>
              <w:t>10,437</w:t>
            </w:r>
          </w:p>
        </w:tc>
        <w:tc>
          <w:tcPr>
            <w:tcW w:w="1330" w:type="pct"/>
            <w:tcMar>
              <w:top w:w="0" w:type="dxa"/>
              <w:left w:w="108" w:type="dxa"/>
              <w:bottom w:w="0" w:type="dxa"/>
              <w:right w:w="108" w:type="dxa"/>
            </w:tcMar>
            <w:vAlign w:val="center"/>
          </w:tcPr>
          <w:p w:rsidR="005B6E28" w:rsidRPr="00D14FFD" w:rsidRDefault="005B6E28" w:rsidP="005B6E28">
            <w:pPr>
              <w:jc w:val="right"/>
              <w:rPr>
                <w:rFonts w:cs="Tahoma"/>
                <w:color w:val="000000"/>
              </w:rPr>
            </w:pPr>
            <w:r>
              <w:rPr>
                <w:rFonts w:ascii="Calibri" w:hAnsi="Calibri"/>
                <w:color w:val="000000"/>
              </w:rPr>
              <w:t>6,686 (64%)</w:t>
            </w:r>
          </w:p>
        </w:tc>
        <w:tc>
          <w:tcPr>
            <w:tcW w:w="1275" w:type="pct"/>
            <w:vAlign w:val="center"/>
          </w:tcPr>
          <w:p w:rsidR="005B6E28" w:rsidRPr="00D14FFD" w:rsidRDefault="005B6E28" w:rsidP="005B6E28">
            <w:pPr>
              <w:jc w:val="right"/>
              <w:rPr>
                <w:rFonts w:cs="Tahoma"/>
                <w:color w:val="000000"/>
              </w:rPr>
            </w:pPr>
            <w:r w:rsidRPr="00D14FFD">
              <w:rPr>
                <w:rFonts w:cs="Tahoma"/>
                <w:color w:val="000000"/>
              </w:rPr>
              <w:t>741 (11%)</w:t>
            </w:r>
          </w:p>
        </w:tc>
      </w:tr>
      <w:tr w:rsidR="005B6E28" w:rsidRPr="00396A58" w:rsidTr="00814AB7">
        <w:trPr>
          <w:trHeight w:val="473"/>
        </w:trPr>
        <w:tc>
          <w:tcPr>
            <w:tcW w:w="1176" w:type="pct"/>
            <w:tcMar>
              <w:top w:w="0" w:type="dxa"/>
              <w:left w:w="108" w:type="dxa"/>
              <w:bottom w:w="0" w:type="dxa"/>
              <w:right w:w="108" w:type="dxa"/>
            </w:tcMar>
          </w:tcPr>
          <w:p w:rsidR="005B6E28" w:rsidRPr="007F3C8B" w:rsidRDefault="005B6E28" w:rsidP="00851E93">
            <w:pPr>
              <w:spacing w:after="0" w:line="240" w:lineRule="auto"/>
              <w:rPr>
                <w:b/>
              </w:rPr>
            </w:pPr>
            <w:r>
              <w:rPr>
                <w:b/>
              </w:rPr>
              <w:t>MAT 055</w:t>
            </w:r>
          </w:p>
        </w:tc>
        <w:tc>
          <w:tcPr>
            <w:tcW w:w="1219" w:type="pct"/>
            <w:tcMar>
              <w:top w:w="0" w:type="dxa"/>
              <w:left w:w="108" w:type="dxa"/>
              <w:bottom w:w="0" w:type="dxa"/>
              <w:right w:w="108" w:type="dxa"/>
            </w:tcMar>
            <w:vAlign w:val="center"/>
          </w:tcPr>
          <w:p w:rsidR="005B6E28" w:rsidRPr="00D14FFD" w:rsidRDefault="005B6E28" w:rsidP="005B6E28">
            <w:pPr>
              <w:jc w:val="right"/>
              <w:rPr>
                <w:rFonts w:cs="Tahoma"/>
                <w:color w:val="000000"/>
              </w:rPr>
            </w:pPr>
            <w:r>
              <w:rPr>
                <w:rFonts w:ascii="Calibri" w:hAnsi="Calibri"/>
                <w:color w:val="000000"/>
              </w:rPr>
              <w:t>6,870</w:t>
            </w:r>
          </w:p>
        </w:tc>
        <w:tc>
          <w:tcPr>
            <w:tcW w:w="1330" w:type="pct"/>
            <w:tcMar>
              <w:top w:w="0" w:type="dxa"/>
              <w:left w:w="108" w:type="dxa"/>
              <w:bottom w:w="0" w:type="dxa"/>
              <w:right w:w="108" w:type="dxa"/>
            </w:tcMar>
            <w:vAlign w:val="center"/>
          </w:tcPr>
          <w:p w:rsidR="005B6E28" w:rsidRPr="00D14FFD" w:rsidRDefault="005B6E28" w:rsidP="005B6E28">
            <w:pPr>
              <w:jc w:val="right"/>
              <w:rPr>
                <w:rFonts w:cs="Tahoma"/>
                <w:color w:val="000000"/>
              </w:rPr>
            </w:pPr>
            <w:r>
              <w:rPr>
                <w:rFonts w:ascii="Calibri" w:hAnsi="Calibri"/>
                <w:color w:val="000000"/>
              </w:rPr>
              <w:t>5,166 (75%)</w:t>
            </w:r>
          </w:p>
        </w:tc>
        <w:tc>
          <w:tcPr>
            <w:tcW w:w="1275" w:type="pct"/>
            <w:vAlign w:val="center"/>
          </w:tcPr>
          <w:p w:rsidR="005B6E28" w:rsidRPr="00D14FFD" w:rsidRDefault="005B6E28" w:rsidP="005B6E28">
            <w:pPr>
              <w:jc w:val="right"/>
              <w:rPr>
                <w:rFonts w:cs="Tahoma"/>
                <w:color w:val="000000"/>
              </w:rPr>
            </w:pPr>
            <w:r w:rsidRPr="00D14FFD">
              <w:rPr>
                <w:rFonts w:cs="Tahoma"/>
                <w:color w:val="000000"/>
              </w:rPr>
              <w:t>1</w:t>
            </w:r>
            <w:r>
              <w:rPr>
                <w:rFonts w:cs="Tahoma"/>
                <w:color w:val="000000"/>
              </w:rPr>
              <w:t>,</w:t>
            </w:r>
            <w:r w:rsidRPr="00D14FFD">
              <w:rPr>
                <w:rFonts w:cs="Tahoma"/>
                <w:color w:val="000000"/>
              </w:rPr>
              <w:t>377 (27%)</w:t>
            </w:r>
          </w:p>
        </w:tc>
      </w:tr>
      <w:tr w:rsidR="005B6E28" w:rsidRPr="00396A58" w:rsidTr="00814AB7">
        <w:trPr>
          <w:trHeight w:val="473"/>
        </w:trPr>
        <w:tc>
          <w:tcPr>
            <w:tcW w:w="1176" w:type="pct"/>
            <w:tcMar>
              <w:top w:w="0" w:type="dxa"/>
              <w:left w:w="108" w:type="dxa"/>
              <w:bottom w:w="0" w:type="dxa"/>
              <w:right w:w="108" w:type="dxa"/>
            </w:tcMar>
          </w:tcPr>
          <w:p w:rsidR="005B6E28" w:rsidRPr="00396A58" w:rsidRDefault="005B6E28" w:rsidP="00851E93">
            <w:pPr>
              <w:spacing w:after="0" w:line="240" w:lineRule="auto"/>
              <w:rPr>
                <w:b/>
              </w:rPr>
            </w:pPr>
            <w:r w:rsidRPr="00396A58">
              <w:rPr>
                <w:b/>
              </w:rPr>
              <w:t>MAT 091</w:t>
            </w:r>
          </w:p>
        </w:tc>
        <w:tc>
          <w:tcPr>
            <w:tcW w:w="1219" w:type="pct"/>
            <w:tcMar>
              <w:top w:w="0" w:type="dxa"/>
              <w:left w:w="108" w:type="dxa"/>
              <w:bottom w:w="0" w:type="dxa"/>
              <w:right w:w="108" w:type="dxa"/>
            </w:tcMar>
            <w:vAlign w:val="center"/>
          </w:tcPr>
          <w:p w:rsidR="005B6E28" w:rsidRPr="00D14FFD" w:rsidRDefault="005B6E28" w:rsidP="005B6E28">
            <w:pPr>
              <w:jc w:val="right"/>
              <w:rPr>
                <w:color w:val="000000"/>
              </w:rPr>
            </w:pPr>
            <w:r>
              <w:rPr>
                <w:rFonts w:ascii="Calibri" w:hAnsi="Calibri"/>
                <w:color w:val="000000"/>
              </w:rPr>
              <w:t>210</w:t>
            </w:r>
          </w:p>
        </w:tc>
        <w:tc>
          <w:tcPr>
            <w:tcW w:w="1330" w:type="pct"/>
            <w:tcMar>
              <w:top w:w="0" w:type="dxa"/>
              <w:left w:w="108" w:type="dxa"/>
              <w:bottom w:w="0" w:type="dxa"/>
              <w:right w:w="108" w:type="dxa"/>
            </w:tcMar>
            <w:vAlign w:val="center"/>
          </w:tcPr>
          <w:p w:rsidR="005B6E28" w:rsidRPr="00D14FFD" w:rsidRDefault="005B6E28" w:rsidP="005B6E28">
            <w:pPr>
              <w:jc w:val="right"/>
              <w:rPr>
                <w:color w:val="000000"/>
              </w:rPr>
            </w:pPr>
            <w:r>
              <w:rPr>
                <w:rFonts w:ascii="Calibri" w:hAnsi="Calibri"/>
                <w:color w:val="000000"/>
              </w:rPr>
              <w:t>129 (61%)</w:t>
            </w:r>
          </w:p>
        </w:tc>
        <w:tc>
          <w:tcPr>
            <w:tcW w:w="1275" w:type="pct"/>
            <w:vAlign w:val="center"/>
          </w:tcPr>
          <w:p w:rsidR="005B6E28" w:rsidRPr="00D14FFD" w:rsidRDefault="005B6E28" w:rsidP="005B6E28">
            <w:pPr>
              <w:jc w:val="right"/>
              <w:rPr>
                <w:bCs/>
                <w:color w:val="000000"/>
              </w:rPr>
            </w:pPr>
            <w:r w:rsidRPr="00D14FFD">
              <w:rPr>
                <w:bCs/>
                <w:color w:val="000000"/>
              </w:rPr>
              <w:t>101 (78%)</w:t>
            </w:r>
          </w:p>
        </w:tc>
      </w:tr>
      <w:tr w:rsidR="005B6E28" w:rsidRPr="00396A58" w:rsidTr="00814AB7">
        <w:trPr>
          <w:trHeight w:val="473"/>
        </w:trPr>
        <w:tc>
          <w:tcPr>
            <w:tcW w:w="1176" w:type="pct"/>
            <w:tcMar>
              <w:top w:w="0" w:type="dxa"/>
              <w:left w:w="108" w:type="dxa"/>
              <w:bottom w:w="0" w:type="dxa"/>
              <w:right w:w="108" w:type="dxa"/>
            </w:tcMar>
          </w:tcPr>
          <w:p w:rsidR="005B6E28" w:rsidRPr="00396A58" w:rsidRDefault="005B6E28" w:rsidP="00851E93">
            <w:pPr>
              <w:spacing w:after="0" w:line="240" w:lineRule="auto"/>
              <w:rPr>
                <w:b/>
              </w:rPr>
            </w:pPr>
            <w:r w:rsidRPr="00396A58">
              <w:rPr>
                <w:b/>
              </w:rPr>
              <w:t>MAT 092</w:t>
            </w:r>
          </w:p>
        </w:tc>
        <w:tc>
          <w:tcPr>
            <w:tcW w:w="1219" w:type="pct"/>
            <w:tcMar>
              <w:top w:w="0" w:type="dxa"/>
              <w:left w:w="108" w:type="dxa"/>
              <w:bottom w:w="0" w:type="dxa"/>
              <w:right w:w="108" w:type="dxa"/>
            </w:tcMar>
            <w:vAlign w:val="center"/>
          </w:tcPr>
          <w:p w:rsidR="005B6E28" w:rsidRPr="00D14FFD" w:rsidRDefault="005B6E28" w:rsidP="005B6E28">
            <w:pPr>
              <w:jc w:val="right"/>
              <w:rPr>
                <w:color w:val="000000"/>
              </w:rPr>
            </w:pPr>
            <w:r>
              <w:rPr>
                <w:rFonts w:ascii="Calibri" w:hAnsi="Calibri"/>
                <w:color w:val="000000"/>
              </w:rPr>
              <w:t>12</w:t>
            </w:r>
          </w:p>
        </w:tc>
        <w:tc>
          <w:tcPr>
            <w:tcW w:w="1330" w:type="pct"/>
            <w:tcMar>
              <w:top w:w="0" w:type="dxa"/>
              <w:left w:w="108" w:type="dxa"/>
              <w:bottom w:w="0" w:type="dxa"/>
              <w:right w:w="108" w:type="dxa"/>
            </w:tcMar>
            <w:vAlign w:val="center"/>
          </w:tcPr>
          <w:p w:rsidR="005B6E28" w:rsidRPr="00D14FFD" w:rsidRDefault="005B6E28" w:rsidP="005B6E28">
            <w:pPr>
              <w:jc w:val="right"/>
              <w:rPr>
                <w:color w:val="000000"/>
              </w:rPr>
            </w:pPr>
            <w:r>
              <w:rPr>
                <w:rFonts w:ascii="Calibri" w:hAnsi="Calibri"/>
                <w:color w:val="000000"/>
              </w:rPr>
              <w:t>11 (92%)</w:t>
            </w:r>
          </w:p>
        </w:tc>
        <w:tc>
          <w:tcPr>
            <w:tcW w:w="1275" w:type="pct"/>
            <w:vAlign w:val="center"/>
          </w:tcPr>
          <w:p w:rsidR="005B6E28" w:rsidRPr="00D14FFD" w:rsidRDefault="005B6E28" w:rsidP="005B6E28">
            <w:pPr>
              <w:jc w:val="right"/>
              <w:rPr>
                <w:bCs/>
                <w:color w:val="000000"/>
              </w:rPr>
            </w:pPr>
            <w:r w:rsidRPr="00D14FFD">
              <w:rPr>
                <w:bCs/>
                <w:color w:val="000000"/>
              </w:rPr>
              <w:t>10 (91%)</w:t>
            </w:r>
          </w:p>
        </w:tc>
      </w:tr>
      <w:tr w:rsidR="005B6E28" w:rsidRPr="00396A58" w:rsidTr="00814AB7">
        <w:trPr>
          <w:trHeight w:val="473"/>
        </w:trPr>
        <w:tc>
          <w:tcPr>
            <w:tcW w:w="1176" w:type="pct"/>
            <w:tcMar>
              <w:top w:w="0" w:type="dxa"/>
              <w:left w:w="108" w:type="dxa"/>
              <w:bottom w:w="0" w:type="dxa"/>
              <w:right w:w="108" w:type="dxa"/>
            </w:tcMar>
          </w:tcPr>
          <w:p w:rsidR="005B6E28" w:rsidRPr="00396A58" w:rsidRDefault="005B6E28" w:rsidP="00851E93">
            <w:pPr>
              <w:spacing w:after="0" w:line="240" w:lineRule="auto"/>
              <w:rPr>
                <w:b/>
              </w:rPr>
            </w:pPr>
            <w:r w:rsidRPr="00396A58">
              <w:rPr>
                <w:b/>
              </w:rPr>
              <w:t>MAT 093</w:t>
            </w:r>
          </w:p>
        </w:tc>
        <w:tc>
          <w:tcPr>
            <w:tcW w:w="1219" w:type="pct"/>
            <w:tcMar>
              <w:top w:w="0" w:type="dxa"/>
              <w:left w:w="108" w:type="dxa"/>
              <w:bottom w:w="0" w:type="dxa"/>
              <w:right w:w="108" w:type="dxa"/>
            </w:tcMar>
            <w:vAlign w:val="center"/>
          </w:tcPr>
          <w:p w:rsidR="005B6E28" w:rsidRPr="00D14FFD" w:rsidRDefault="005B6E28" w:rsidP="005B6E28">
            <w:pPr>
              <w:jc w:val="right"/>
              <w:rPr>
                <w:color w:val="000000"/>
              </w:rPr>
            </w:pPr>
            <w:r>
              <w:rPr>
                <w:rFonts w:ascii="Calibri" w:hAnsi="Calibri"/>
                <w:color w:val="000000"/>
              </w:rPr>
              <w:t>137</w:t>
            </w:r>
          </w:p>
        </w:tc>
        <w:tc>
          <w:tcPr>
            <w:tcW w:w="1330" w:type="pct"/>
            <w:tcMar>
              <w:top w:w="0" w:type="dxa"/>
              <w:left w:w="108" w:type="dxa"/>
              <w:bottom w:w="0" w:type="dxa"/>
              <w:right w:w="108" w:type="dxa"/>
            </w:tcMar>
            <w:vAlign w:val="center"/>
          </w:tcPr>
          <w:p w:rsidR="005B6E28" w:rsidRPr="00D14FFD" w:rsidRDefault="005B6E28" w:rsidP="005B6E28">
            <w:pPr>
              <w:jc w:val="right"/>
              <w:rPr>
                <w:color w:val="000000"/>
              </w:rPr>
            </w:pPr>
            <w:r>
              <w:rPr>
                <w:rFonts w:ascii="Calibri" w:hAnsi="Calibri"/>
                <w:color w:val="000000"/>
              </w:rPr>
              <w:t>95 (69%)</w:t>
            </w:r>
          </w:p>
        </w:tc>
        <w:tc>
          <w:tcPr>
            <w:tcW w:w="1275" w:type="pct"/>
            <w:vAlign w:val="center"/>
          </w:tcPr>
          <w:p w:rsidR="005B6E28" w:rsidRPr="00D14FFD" w:rsidRDefault="005B6E28" w:rsidP="005B6E28">
            <w:pPr>
              <w:jc w:val="right"/>
              <w:rPr>
                <w:bCs/>
                <w:color w:val="000000"/>
              </w:rPr>
            </w:pPr>
            <w:r w:rsidRPr="00D14FFD">
              <w:rPr>
                <w:bCs/>
                <w:color w:val="000000"/>
              </w:rPr>
              <w:t>78 (82%)</w:t>
            </w:r>
          </w:p>
        </w:tc>
      </w:tr>
      <w:tr w:rsidR="005B6E28" w:rsidRPr="00396A58" w:rsidTr="00814AB7">
        <w:trPr>
          <w:trHeight w:val="473"/>
        </w:trPr>
        <w:tc>
          <w:tcPr>
            <w:tcW w:w="1176" w:type="pct"/>
            <w:tcMar>
              <w:top w:w="0" w:type="dxa"/>
              <w:left w:w="108" w:type="dxa"/>
              <w:bottom w:w="0" w:type="dxa"/>
              <w:right w:w="108" w:type="dxa"/>
            </w:tcMar>
          </w:tcPr>
          <w:p w:rsidR="005B6E28" w:rsidRPr="00396A58" w:rsidRDefault="005B6E28" w:rsidP="00851E93">
            <w:pPr>
              <w:spacing w:after="0" w:line="240" w:lineRule="auto"/>
              <w:rPr>
                <w:b/>
              </w:rPr>
            </w:pPr>
            <w:r>
              <w:rPr>
                <w:b/>
              </w:rPr>
              <w:t>Other DE Math</w:t>
            </w:r>
          </w:p>
        </w:tc>
        <w:tc>
          <w:tcPr>
            <w:tcW w:w="1219" w:type="pct"/>
            <w:tcMar>
              <w:top w:w="0" w:type="dxa"/>
              <w:left w:w="108" w:type="dxa"/>
              <w:bottom w:w="0" w:type="dxa"/>
              <w:right w:w="108" w:type="dxa"/>
            </w:tcMar>
            <w:vAlign w:val="center"/>
          </w:tcPr>
          <w:p w:rsidR="005B6E28" w:rsidRPr="00D14FFD" w:rsidRDefault="005B6E28" w:rsidP="005B6E28">
            <w:pPr>
              <w:jc w:val="right"/>
              <w:rPr>
                <w:color w:val="000000"/>
              </w:rPr>
            </w:pPr>
            <w:r>
              <w:rPr>
                <w:color w:val="000000"/>
              </w:rPr>
              <w:t>1,872</w:t>
            </w:r>
          </w:p>
        </w:tc>
        <w:tc>
          <w:tcPr>
            <w:tcW w:w="1330" w:type="pct"/>
            <w:tcMar>
              <w:top w:w="0" w:type="dxa"/>
              <w:left w:w="108" w:type="dxa"/>
              <w:bottom w:w="0" w:type="dxa"/>
              <w:right w:w="108" w:type="dxa"/>
            </w:tcMar>
            <w:vAlign w:val="center"/>
          </w:tcPr>
          <w:p w:rsidR="005B6E28" w:rsidRPr="00D14FFD" w:rsidRDefault="005B6E28" w:rsidP="005B6E28">
            <w:pPr>
              <w:jc w:val="right"/>
              <w:rPr>
                <w:color w:val="000000"/>
              </w:rPr>
            </w:pPr>
            <w:r>
              <w:rPr>
                <w:rFonts w:ascii="Calibri" w:hAnsi="Calibri"/>
                <w:color w:val="000000"/>
              </w:rPr>
              <w:t>1,216 (65%)</w:t>
            </w:r>
          </w:p>
        </w:tc>
        <w:tc>
          <w:tcPr>
            <w:tcW w:w="1275" w:type="pct"/>
            <w:vAlign w:val="center"/>
          </w:tcPr>
          <w:p w:rsidR="005B6E28" w:rsidRPr="00D14FFD" w:rsidRDefault="005B6E28" w:rsidP="005B6E28">
            <w:pPr>
              <w:jc w:val="right"/>
              <w:rPr>
                <w:bCs/>
                <w:color w:val="000000"/>
              </w:rPr>
            </w:pPr>
            <w:r w:rsidRPr="007F3C8B">
              <w:rPr>
                <w:bCs/>
                <w:color w:val="000000"/>
              </w:rPr>
              <w:t>273</w:t>
            </w:r>
            <w:r>
              <w:rPr>
                <w:bCs/>
                <w:color w:val="000000"/>
              </w:rPr>
              <w:t xml:space="preserve"> (22%)</w:t>
            </w:r>
          </w:p>
        </w:tc>
      </w:tr>
      <w:tr w:rsidR="005B6E28" w:rsidRPr="00396A58" w:rsidTr="00814AB7">
        <w:trPr>
          <w:trHeight w:val="473"/>
        </w:trPr>
        <w:tc>
          <w:tcPr>
            <w:tcW w:w="1176" w:type="pct"/>
            <w:tcMar>
              <w:top w:w="0" w:type="dxa"/>
              <w:left w:w="108" w:type="dxa"/>
              <w:bottom w:w="0" w:type="dxa"/>
              <w:right w:w="108" w:type="dxa"/>
            </w:tcMar>
          </w:tcPr>
          <w:p w:rsidR="005B6E28" w:rsidRPr="00396A58" w:rsidRDefault="005B6E28" w:rsidP="005666D8">
            <w:pPr>
              <w:spacing w:after="0" w:line="240" w:lineRule="auto"/>
              <w:rPr>
                <w:b/>
              </w:rPr>
            </w:pPr>
            <w:r w:rsidRPr="00396A58">
              <w:rPr>
                <w:b/>
              </w:rPr>
              <w:t xml:space="preserve">All DE </w:t>
            </w:r>
            <w:r>
              <w:rPr>
                <w:b/>
              </w:rPr>
              <w:t>Math</w:t>
            </w:r>
            <w:r w:rsidRPr="00396A58">
              <w:rPr>
                <w:rStyle w:val="FootnoteReference"/>
                <w:b/>
              </w:rPr>
              <w:t xml:space="preserve"> </w:t>
            </w:r>
            <w:r w:rsidRPr="00396A58">
              <w:rPr>
                <w:rStyle w:val="FootnoteReference"/>
                <w:b/>
              </w:rPr>
              <w:footnoteReference w:id="7"/>
            </w:r>
          </w:p>
        </w:tc>
        <w:tc>
          <w:tcPr>
            <w:tcW w:w="1219" w:type="pct"/>
            <w:tcMar>
              <w:top w:w="0" w:type="dxa"/>
              <w:left w:w="108" w:type="dxa"/>
              <w:bottom w:w="0" w:type="dxa"/>
              <w:right w:w="108" w:type="dxa"/>
            </w:tcMar>
            <w:vAlign w:val="center"/>
          </w:tcPr>
          <w:p w:rsidR="005B6E28" w:rsidRPr="007F3C8B" w:rsidRDefault="005B6E28" w:rsidP="005B6E28">
            <w:pPr>
              <w:jc w:val="right"/>
              <w:rPr>
                <w:rFonts w:ascii="Tahoma" w:hAnsi="Tahoma" w:cs="Tahoma"/>
                <w:color w:val="000000"/>
                <w:sz w:val="20"/>
                <w:szCs w:val="20"/>
              </w:rPr>
            </w:pPr>
            <w:r>
              <w:rPr>
                <w:rFonts w:ascii="Tahoma" w:hAnsi="Tahoma" w:cs="Tahoma"/>
                <w:color w:val="000000"/>
                <w:sz w:val="20"/>
                <w:szCs w:val="20"/>
              </w:rPr>
              <w:t>18,576</w:t>
            </w:r>
          </w:p>
        </w:tc>
        <w:tc>
          <w:tcPr>
            <w:tcW w:w="1330" w:type="pct"/>
            <w:tcMar>
              <w:top w:w="0" w:type="dxa"/>
              <w:left w:w="108" w:type="dxa"/>
              <w:bottom w:w="0" w:type="dxa"/>
              <w:right w:w="108" w:type="dxa"/>
            </w:tcMar>
            <w:vAlign w:val="center"/>
          </w:tcPr>
          <w:p w:rsidR="005B6E28" w:rsidRPr="00D14FFD" w:rsidRDefault="005B6E28" w:rsidP="005B6E28">
            <w:pPr>
              <w:jc w:val="right"/>
              <w:rPr>
                <w:color w:val="000000"/>
              </w:rPr>
            </w:pPr>
            <w:r>
              <w:rPr>
                <w:rFonts w:ascii="Calibri" w:hAnsi="Calibri"/>
                <w:color w:val="000000"/>
              </w:rPr>
              <w:t>8,201 (44%)</w:t>
            </w:r>
          </w:p>
        </w:tc>
        <w:tc>
          <w:tcPr>
            <w:tcW w:w="1275" w:type="pct"/>
            <w:vAlign w:val="center"/>
          </w:tcPr>
          <w:p w:rsidR="005B6E28" w:rsidRPr="00D14FFD" w:rsidRDefault="005B6E28" w:rsidP="005B6E28">
            <w:pPr>
              <w:jc w:val="right"/>
              <w:rPr>
                <w:bCs/>
                <w:color w:val="000000"/>
              </w:rPr>
            </w:pPr>
            <w:r w:rsidRPr="00D14FFD">
              <w:rPr>
                <w:bCs/>
                <w:color w:val="000000"/>
              </w:rPr>
              <w:t>2</w:t>
            </w:r>
            <w:r>
              <w:rPr>
                <w:bCs/>
                <w:color w:val="000000"/>
              </w:rPr>
              <w:t>,</w:t>
            </w:r>
            <w:r w:rsidRPr="00D14FFD">
              <w:rPr>
                <w:bCs/>
                <w:color w:val="000000"/>
              </w:rPr>
              <w:t>437 (30%)</w:t>
            </w:r>
          </w:p>
        </w:tc>
      </w:tr>
    </w:tbl>
    <w:p w:rsidR="00283CE4" w:rsidRPr="00396A58" w:rsidRDefault="00283CE4" w:rsidP="00332AE2">
      <w:pPr>
        <w:rPr>
          <w:b/>
        </w:rPr>
      </w:pPr>
    </w:p>
    <w:p w:rsidR="00B56633" w:rsidRPr="00396A58" w:rsidRDefault="00B56633" w:rsidP="00332AE2">
      <w:r w:rsidRPr="00396A58">
        <w:t xml:space="preserve">One of the observations about the students in math is that </w:t>
      </w:r>
      <w:r w:rsidR="00CE4F68" w:rsidRPr="00396A58">
        <w:t>they</w:t>
      </w:r>
      <w:r w:rsidRPr="00396A58">
        <w:t xml:space="preserve"> are not progressing from the MAT 050 course directly into a college</w:t>
      </w:r>
      <w:r w:rsidR="00CE4F68" w:rsidRPr="00396A58">
        <w:t>-</w:t>
      </w:r>
      <w:r w:rsidRPr="00396A58">
        <w:t>level class. Rather, they seem to be moving into MAT 055 rather than into a college</w:t>
      </w:r>
      <w:r w:rsidR="00CE4F68" w:rsidRPr="00396A58">
        <w:t>-</w:t>
      </w:r>
      <w:r w:rsidRPr="00396A58">
        <w:t>level math course for their program of study. While not intended in the redesign, it is not clear if this course taking patter</w:t>
      </w:r>
      <w:r w:rsidR="00F466B0" w:rsidRPr="00396A58">
        <w:t>n</w:t>
      </w:r>
      <w:r w:rsidRPr="00396A58">
        <w:t xml:space="preserve"> is a result of advising or math department intervention and merits additional study. </w:t>
      </w:r>
    </w:p>
    <w:p w:rsidR="00823F72" w:rsidRPr="00396A58" w:rsidRDefault="00555947" w:rsidP="00823F72">
      <w:r w:rsidRPr="00396A58">
        <w:t xml:space="preserve">The </w:t>
      </w:r>
      <w:r w:rsidR="00686402" w:rsidRPr="00396A58">
        <w:t>d</w:t>
      </w:r>
      <w:r w:rsidRPr="00396A58">
        <w:t>evelopmental education redesign gives the colleges the option of offering one</w:t>
      </w:r>
      <w:r w:rsidR="00CE4F68" w:rsidRPr="00396A58">
        <w:t>-</w:t>
      </w:r>
      <w:r w:rsidRPr="00396A58">
        <w:t>credit lab courses</w:t>
      </w:r>
      <w:r w:rsidR="00283CE4" w:rsidRPr="00396A58">
        <w:t xml:space="preserve"> (MAT 091, 092, and 093)</w:t>
      </w:r>
      <w:r w:rsidR="008E2E39">
        <w:t xml:space="preserve"> to support college-</w:t>
      </w:r>
      <w:r w:rsidRPr="00396A58">
        <w:t>level math courses. These labs are designed for students whose placement scores are slightly below the scores needed for the college</w:t>
      </w:r>
      <w:r w:rsidR="00CE4F68" w:rsidRPr="00396A58">
        <w:t>-</w:t>
      </w:r>
      <w:r w:rsidR="00283CE4" w:rsidRPr="00396A58">
        <w:t>level courses</w:t>
      </w:r>
      <w:r w:rsidRPr="00396A58">
        <w:t xml:space="preserve">. </w:t>
      </w:r>
      <w:r w:rsidR="00842455" w:rsidRPr="00396A58">
        <w:t>Because t</w:t>
      </w:r>
      <w:r w:rsidRPr="00396A58">
        <w:t xml:space="preserve">hese students are also enrolled in a </w:t>
      </w:r>
      <w:r w:rsidR="00842455" w:rsidRPr="00396A58">
        <w:t xml:space="preserve">co-requisite </w:t>
      </w:r>
      <w:r w:rsidRPr="00396A58">
        <w:t>college</w:t>
      </w:r>
      <w:r w:rsidR="00CE4F68" w:rsidRPr="00396A58">
        <w:t>-</w:t>
      </w:r>
      <w:r w:rsidRPr="00396A58">
        <w:t>level math course</w:t>
      </w:r>
      <w:r w:rsidR="00842455" w:rsidRPr="00396A58">
        <w:t>,</w:t>
      </w:r>
      <w:r w:rsidR="00DF3690" w:rsidRPr="00396A58">
        <w:t xml:space="preserve"> </w:t>
      </w:r>
      <w:r w:rsidRPr="00396A58">
        <w:t xml:space="preserve">the labs are classified as supplemental academic instruction (SAI). </w:t>
      </w:r>
      <w:r w:rsidR="00823F72" w:rsidRPr="00396A58">
        <w:t xml:space="preserve">This SAI in math is an option under the developmental education redesign but is not a required component of implementation. The non-required element has caused fewer campuses to implement and explains the very low enrollment numbers. </w:t>
      </w:r>
    </w:p>
    <w:p w:rsidR="00F84831" w:rsidRPr="00396A58" w:rsidRDefault="0052663D" w:rsidP="001E51B1">
      <w:pPr>
        <w:pStyle w:val="Heading2"/>
      </w:pPr>
      <w:r w:rsidRPr="00396A58">
        <w:lastRenderedPageBreak/>
        <w:t>Summary</w:t>
      </w:r>
    </w:p>
    <w:p w:rsidR="00DF34C5" w:rsidRDefault="00DF34C5" w:rsidP="009A243F">
      <w:pPr>
        <w:pStyle w:val="ListParagraph"/>
        <w:numPr>
          <w:ilvl w:val="0"/>
          <w:numId w:val="2"/>
        </w:numPr>
        <w:spacing w:after="0" w:line="240" w:lineRule="auto"/>
      </w:pPr>
      <w:r>
        <w:t>Student FTE in the developmental education redesign has decreased. This is consistent with the philosophy of the redesign that colleges s</w:t>
      </w:r>
      <w:r w:rsidR="008E2E39">
        <w:t>hould place students in college-</w:t>
      </w:r>
      <w:r>
        <w:t xml:space="preserve">level courses with support wherever possible rather than place them in pre-requisite developmental coursework. </w:t>
      </w:r>
    </w:p>
    <w:p w:rsidR="009A3E87" w:rsidRPr="00396A58" w:rsidRDefault="009A243F" w:rsidP="009A243F">
      <w:pPr>
        <w:pStyle w:val="ListParagraph"/>
        <w:numPr>
          <w:ilvl w:val="0"/>
          <w:numId w:val="2"/>
        </w:numPr>
        <w:spacing w:after="0" w:line="240" w:lineRule="auto"/>
      </w:pPr>
      <w:r>
        <w:t xml:space="preserve">Students enrolled in co-requisite or SAI courses in both CCR and in math show much </w:t>
      </w:r>
      <w:r w:rsidR="008E2E39">
        <w:t>higher success rates in college-</w:t>
      </w:r>
      <w:r>
        <w:t xml:space="preserve">level courses after a year than students who are in standalone developmental education courses. </w:t>
      </w:r>
      <w:r w:rsidR="0052663D" w:rsidRPr="00396A58">
        <w:t>However, supplemental math instruction is not yet offered at all colleges, leading to a less representative</w:t>
      </w:r>
      <w:r w:rsidR="00B56633" w:rsidRPr="00396A58">
        <w:t xml:space="preserve"> and </w:t>
      </w:r>
      <w:r w:rsidR="00CE4F68" w:rsidRPr="00396A58">
        <w:t xml:space="preserve">a </w:t>
      </w:r>
      <w:r w:rsidR="00B56633" w:rsidRPr="00396A58">
        <w:t>smaller</w:t>
      </w:r>
      <w:r w:rsidR="0052663D" w:rsidRPr="00396A58">
        <w:t xml:space="preserve"> sample.</w:t>
      </w:r>
      <w:r w:rsidR="00B72624">
        <w:t xml:space="preserve">  As such, there is not sufficient information to make a </w:t>
      </w:r>
      <w:r w:rsidR="00107E3A">
        <w:t>judgment</w:t>
      </w:r>
      <w:r w:rsidR="00B72624">
        <w:t xml:space="preserve"> yet with regard to supplemental academic instruction and math.</w:t>
      </w:r>
    </w:p>
    <w:p w:rsidR="00797CA9" w:rsidRPr="00396A58" w:rsidRDefault="00540D63" w:rsidP="00823F72">
      <w:pPr>
        <w:pStyle w:val="ListParagraph"/>
        <w:keepNext/>
        <w:keepLines/>
        <w:numPr>
          <w:ilvl w:val="0"/>
          <w:numId w:val="2"/>
        </w:numPr>
        <w:spacing w:before="200" w:after="0" w:line="240" w:lineRule="auto"/>
        <w:outlineLvl w:val="1"/>
      </w:pPr>
      <w:r w:rsidRPr="00396A58">
        <w:t xml:space="preserve">Developmental education students </w:t>
      </w:r>
      <w:r w:rsidR="00B85454">
        <w:t xml:space="preserve">in CCR </w:t>
      </w:r>
      <w:r w:rsidR="004763AD" w:rsidRPr="00396A58">
        <w:t xml:space="preserve">appear to </w:t>
      </w:r>
      <w:r w:rsidRPr="00396A58">
        <w:t xml:space="preserve">have a better chance of being successful </w:t>
      </w:r>
      <w:r w:rsidR="004763AD" w:rsidRPr="00396A58">
        <w:t xml:space="preserve">in a college course </w:t>
      </w:r>
      <w:r w:rsidRPr="00396A58">
        <w:t xml:space="preserve">if they take the developmental course </w:t>
      </w:r>
      <w:r w:rsidR="004763AD" w:rsidRPr="00396A58">
        <w:t xml:space="preserve">they need </w:t>
      </w:r>
      <w:r w:rsidRPr="00396A58">
        <w:t>concurrently with a college</w:t>
      </w:r>
      <w:r w:rsidR="00CE4F68" w:rsidRPr="00396A58">
        <w:t>-</w:t>
      </w:r>
      <w:r w:rsidRPr="00396A58">
        <w:t>level course</w:t>
      </w:r>
      <w:r w:rsidR="00A23241">
        <w:t xml:space="preserve"> (SAI)</w:t>
      </w:r>
      <w:r w:rsidRPr="00396A58">
        <w:t xml:space="preserve">. </w:t>
      </w:r>
      <w:r w:rsidR="008F730E" w:rsidRPr="00396A58">
        <w:t xml:space="preserve">However, as students with higher placement scores are generally placed in corequisite rather than prerequisite courses, the question of what placement </w:t>
      </w:r>
      <w:r w:rsidR="00A23241">
        <w:t>ranges</w:t>
      </w:r>
      <w:r w:rsidR="008F730E" w:rsidRPr="00396A58">
        <w:t xml:space="preserve"> will be optimal for encouraging student success </w:t>
      </w:r>
      <w:r w:rsidR="00A23241">
        <w:t xml:space="preserve">in SAI </w:t>
      </w:r>
      <w:r w:rsidR="008F730E" w:rsidRPr="00396A58">
        <w:t>remains open.</w:t>
      </w:r>
    </w:p>
    <w:sectPr w:rsidR="00797CA9" w:rsidRPr="00396A58" w:rsidSect="004C1C70">
      <w:headerReference w:type="default" r:id="rId9"/>
      <w:footerReference w:type="default" r:id="rId10"/>
      <w:pgSz w:w="12240" w:h="15840"/>
      <w:pgMar w:top="576" w:right="1008" w:bottom="576" w:left="1008" w:header="432" w:footer="288"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71" w:rsidRDefault="00664671" w:rsidP="00601159">
      <w:pPr>
        <w:spacing w:after="0" w:line="240" w:lineRule="auto"/>
      </w:pPr>
      <w:r>
        <w:separator/>
      </w:r>
    </w:p>
  </w:endnote>
  <w:endnote w:type="continuationSeparator" w:id="0">
    <w:p w:rsidR="00664671" w:rsidRDefault="00664671" w:rsidP="0060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987761"/>
      <w:docPartObj>
        <w:docPartGallery w:val="Page Numbers (Bottom of Page)"/>
        <w:docPartUnique/>
      </w:docPartObj>
    </w:sdtPr>
    <w:sdtEndPr>
      <w:rPr>
        <w:rFonts w:ascii="Times New Roman" w:hAnsi="Times New Roman" w:cs="Times New Roman"/>
        <w:noProof/>
        <w:sz w:val="24"/>
        <w:szCs w:val="24"/>
      </w:rPr>
    </w:sdtEndPr>
    <w:sdtContent>
      <w:p w:rsidR="004C1C70" w:rsidRPr="004C1C70" w:rsidRDefault="004C1C70">
        <w:pPr>
          <w:pStyle w:val="Footer"/>
          <w:jc w:val="right"/>
          <w:rPr>
            <w:rFonts w:ascii="Times New Roman" w:hAnsi="Times New Roman" w:cs="Times New Roman"/>
            <w:sz w:val="24"/>
            <w:szCs w:val="24"/>
          </w:rPr>
        </w:pPr>
        <w:r w:rsidRPr="004C1C70">
          <w:rPr>
            <w:rFonts w:ascii="Times New Roman" w:hAnsi="Times New Roman" w:cs="Times New Roman"/>
            <w:sz w:val="24"/>
            <w:szCs w:val="24"/>
          </w:rPr>
          <w:fldChar w:fldCharType="begin"/>
        </w:r>
        <w:r w:rsidRPr="004C1C70">
          <w:rPr>
            <w:rFonts w:ascii="Times New Roman" w:hAnsi="Times New Roman" w:cs="Times New Roman"/>
            <w:sz w:val="24"/>
            <w:szCs w:val="24"/>
          </w:rPr>
          <w:instrText xml:space="preserve"> PAGE   \* MERGEFORMAT </w:instrText>
        </w:r>
        <w:r w:rsidRPr="004C1C70">
          <w:rPr>
            <w:rFonts w:ascii="Times New Roman" w:hAnsi="Times New Roman" w:cs="Times New Roman"/>
            <w:sz w:val="24"/>
            <w:szCs w:val="24"/>
          </w:rPr>
          <w:fldChar w:fldCharType="separate"/>
        </w:r>
        <w:r w:rsidR="00411CCA">
          <w:rPr>
            <w:rFonts w:ascii="Times New Roman" w:hAnsi="Times New Roman" w:cs="Times New Roman"/>
            <w:noProof/>
            <w:sz w:val="24"/>
            <w:szCs w:val="24"/>
          </w:rPr>
          <w:t>13</w:t>
        </w:r>
        <w:r w:rsidRPr="004C1C70">
          <w:rPr>
            <w:rFonts w:ascii="Times New Roman" w:hAnsi="Times New Roman" w:cs="Times New Roman"/>
            <w:noProof/>
            <w:sz w:val="24"/>
            <w:szCs w:val="24"/>
          </w:rPr>
          <w:fldChar w:fldCharType="end"/>
        </w:r>
      </w:p>
    </w:sdtContent>
  </w:sdt>
  <w:p w:rsidR="009F24DA" w:rsidRDefault="009F2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71" w:rsidRDefault="00664671" w:rsidP="00601159">
      <w:pPr>
        <w:spacing w:after="0" w:line="240" w:lineRule="auto"/>
      </w:pPr>
      <w:r>
        <w:separator/>
      </w:r>
    </w:p>
  </w:footnote>
  <w:footnote w:type="continuationSeparator" w:id="0">
    <w:p w:rsidR="00664671" w:rsidRDefault="00664671" w:rsidP="00601159">
      <w:pPr>
        <w:spacing w:after="0" w:line="240" w:lineRule="auto"/>
      </w:pPr>
      <w:r>
        <w:continuationSeparator/>
      </w:r>
    </w:p>
  </w:footnote>
  <w:footnote w:id="1">
    <w:p w:rsidR="009F24DA" w:rsidRDefault="009F24DA">
      <w:pPr>
        <w:pStyle w:val="FootnoteText"/>
      </w:pPr>
      <w:r>
        <w:rPr>
          <w:rStyle w:val="FootnoteReference"/>
        </w:rPr>
        <w:footnoteRef/>
      </w:r>
      <w:r>
        <w:t xml:space="preserve"> Other math courses offered in 2014-2015 include MAT 045, MAT 060, MAT 090, and MAT 070-087. These courses are not part of the final redesign sequence and were offered in a limited capacity during the 2014-2015 academic year. </w:t>
      </w:r>
    </w:p>
  </w:footnote>
  <w:footnote w:id="2">
    <w:p w:rsidR="009F24DA" w:rsidRDefault="009F24DA">
      <w:pPr>
        <w:pStyle w:val="FootnoteText"/>
      </w:pPr>
      <w:r>
        <w:rPr>
          <w:rStyle w:val="FootnoteReference"/>
        </w:rPr>
        <w:footnoteRef/>
      </w:r>
      <w:r>
        <w:t xml:space="preserve"> Aggregate counts are not the sum of all counts within a category, but instead reflect the number of unique students taking courses within that category.</w:t>
      </w:r>
    </w:p>
  </w:footnote>
  <w:footnote w:id="3">
    <w:p w:rsidR="009F24DA" w:rsidRDefault="009F24DA">
      <w:pPr>
        <w:pStyle w:val="FootnoteText"/>
      </w:pPr>
      <w:r>
        <w:rPr>
          <w:rStyle w:val="FootnoteReference"/>
        </w:rPr>
        <w:footnoteRef/>
      </w:r>
      <w:r>
        <w:t xml:space="preserve"> Ibid.</w:t>
      </w:r>
    </w:p>
  </w:footnote>
  <w:footnote w:id="4">
    <w:p w:rsidR="009F24DA" w:rsidRDefault="009F24DA">
      <w:pPr>
        <w:pStyle w:val="FootnoteText"/>
      </w:pPr>
      <w:r>
        <w:rPr>
          <w:rStyle w:val="FootnoteReference"/>
        </w:rPr>
        <w:footnoteRef/>
      </w:r>
      <w:r>
        <w:t xml:space="preserve"> Ibid.</w:t>
      </w:r>
    </w:p>
  </w:footnote>
  <w:footnote w:id="5">
    <w:p w:rsidR="009F24DA" w:rsidRDefault="009F24DA">
      <w:pPr>
        <w:pStyle w:val="FootnoteText"/>
      </w:pPr>
      <w:r>
        <w:rPr>
          <w:rStyle w:val="FootnoteReference"/>
        </w:rPr>
        <w:footnoteRef/>
      </w:r>
      <w:r>
        <w:t xml:space="preserve"> Ibid.</w:t>
      </w:r>
    </w:p>
  </w:footnote>
  <w:footnote w:id="6">
    <w:p w:rsidR="009F24DA" w:rsidRDefault="009F24DA">
      <w:pPr>
        <w:pStyle w:val="FootnoteText"/>
      </w:pPr>
      <w:r>
        <w:rPr>
          <w:rStyle w:val="FootnoteReference"/>
        </w:rPr>
        <w:footnoteRef/>
      </w:r>
      <w:r>
        <w:t xml:space="preserve"> Ibid.</w:t>
      </w:r>
    </w:p>
  </w:footnote>
  <w:footnote w:id="7">
    <w:p w:rsidR="009F24DA" w:rsidRDefault="009F24DA">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70" w:rsidRDefault="004C1C70">
    <w:pPr>
      <w:pStyle w:val="Header"/>
      <w:rPr>
        <w:rFonts w:ascii="Times New Roman" w:hAnsi="Times New Roman" w:cs="Times New Roman"/>
        <w:sz w:val="24"/>
        <w:szCs w:val="24"/>
      </w:rPr>
    </w:pPr>
    <w:r w:rsidRPr="004C1C70">
      <w:rPr>
        <w:rFonts w:ascii="Times New Roman" w:hAnsi="Times New Roman" w:cs="Times New Roman"/>
        <w:sz w:val="24"/>
        <w:szCs w:val="24"/>
      </w:rPr>
      <w:t>Attachment:</w:t>
    </w:r>
    <w:r>
      <w:rPr>
        <w:rFonts w:ascii="Times New Roman" w:hAnsi="Times New Roman" w:cs="Times New Roman"/>
        <w:sz w:val="24"/>
        <w:szCs w:val="24"/>
      </w:rPr>
      <w:t xml:space="preserve"> Comparison of Success Rates</w:t>
    </w:r>
    <w:r>
      <w:rPr>
        <w:rFonts w:ascii="Times New Roman" w:hAnsi="Times New Roman" w:cs="Times New Roman"/>
        <w:sz w:val="24"/>
        <w:szCs w:val="24"/>
      </w:rPr>
      <w:tab/>
    </w:r>
    <w:r>
      <w:rPr>
        <w:rFonts w:ascii="Times New Roman" w:hAnsi="Times New Roman" w:cs="Times New Roman"/>
        <w:sz w:val="24"/>
        <w:szCs w:val="24"/>
      </w:rPr>
      <w:tab/>
      <w:t>Work Session I.C.</w:t>
    </w:r>
  </w:p>
  <w:p w:rsidR="004C1C70" w:rsidRPr="004C1C70" w:rsidRDefault="004C1C7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AFC"/>
    <w:multiLevelType w:val="hybridMultilevel"/>
    <w:tmpl w:val="3FA632EC"/>
    <w:lvl w:ilvl="0" w:tplc="5CFE007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27486"/>
    <w:multiLevelType w:val="hybridMultilevel"/>
    <w:tmpl w:val="06E4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43EE3"/>
    <w:multiLevelType w:val="hybridMultilevel"/>
    <w:tmpl w:val="90F0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A3"/>
    <w:rsid w:val="00014675"/>
    <w:rsid w:val="000219C5"/>
    <w:rsid w:val="000258D9"/>
    <w:rsid w:val="00040819"/>
    <w:rsid w:val="00041083"/>
    <w:rsid w:val="000414E6"/>
    <w:rsid w:val="00047FA9"/>
    <w:rsid w:val="00070BAB"/>
    <w:rsid w:val="000727F2"/>
    <w:rsid w:val="00085EB0"/>
    <w:rsid w:val="00090412"/>
    <w:rsid w:val="000A51F7"/>
    <w:rsid w:val="000A74C8"/>
    <w:rsid w:val="000B0C84"/>
    <w:rsid w:val="000C3683"/>
    <w:rsid w:val="000C5142"/>
    <w:rsid w:val="000C6FF2"/>
    <w:rsid w:val="000C7DA7"/>
    <w:rsid w:val="000D41C2"/>
    <w:rsid w:val="000D4BCC"/>
    <w:rsid w:val="000F0DAF"/>
    <w:rsid w:val="000F156C"/>
    <w:rsid w:val="000F7B46"/>
    <w:rsid w:val="00103BCB"/>
    <w:rsid w:val="00107E3A"/>
    <w:rsid w:val="00110F9C"/>
    <w:rsid w:val="0011421F"/>
    <w:rsid w:val="00116818"/>
    <w:rsid w:val="0011798F"/>
    <w:rsid w:val="0013407B"/>
    <w:rsid w:val="00140FEB"/>
    <w:rsid w:val="001547F0"/>
    <w:rsid w:val="00155570"/>
    <w:rsid w:val="001570C7"/>
    <w:rsid w:val="00180072"/>
    <w:rsid w:val="001833C7"/>
    <w:rsid w:val="00183B19"/>
    <w:rsid w:val="00191B11"/>
    <w:rsid w:val="001A18E8"/>
    <w:rsid w:val="001B21FA"/>
    <w:rsid w:val="001B3544"/>
    <w:rsid w:val="001B4639"/>
    <w:rsid w:val="001B63A5"/>
    <w:rsid w:val="001C4432"/>
    <w:rsid w:val="001D06D8"/>
    <w:rsid w:val="001D1856"/>
    <w:rsid w:val="001D467E"/>
    <w:rsid w:val="001E3A35"/>
    <w:rsid w:val="001E51B1"/>
    <w:rsid w:val="00203C69"/>
    <w:rsid w:val="0021127A"/>
    <w:rsid w:val="002161E1"/>
    <w:rsid w:val="00263B2F"/>
    <w:rsid w:val="0027341D"/>
    <w:rsid w:val="002744CD"/>
    <w:rsid w:val="00283ADD"/>
    <w:rsid w:val="00283CE4"/>
    <w:rsid w:val="00284623"/>
    <w:rsid w:val="00290CFD"/>
    <w:rsid w:val="002944D6"/>
    <w:rsid w:val="00295D34"/>
    <w:rsid w:val="002A12D8"/>
    <w:rsid w:val="002A21D8"/>
    <w:rsid w:val="002A5419"/>
    <w:rsid w:val="002B0635"/>
    <w:rsid w:val="002B1321"/>
    <w:rsid w:val="002B1DAF"/>
    <w:rsid w:val="002B60C5"/>
    <w:rsid w:val="002C69EA"/>
    <w:rsid w:val="002D7487"/>
    <w:rsid w:val="002E4CCB"/>
    <w:rsid w:val="002E62B9"/>
    <w:rsid w:val="002F4462"/>
    <w:rsid w:val="002F6995"/>
    <w:rsid w:val="002F7EA1"/>
    <w:rsid w:val="00324A6C"/>
    <w:rsid w:val="00330072"/>
    <w:rsid w:val="00331DEA"/>
    <w:rsid w:val="00332AE2"/>
    <w:rsid w:val="00333981"/>
    <w:rsid w:val="003341A8"/>
    <w:rsid w:val="00334AE9"/>
    <w:rsid w:val="00342D1F"/>
    <w:rsid w:val="00344050"/>
    <w:rsid w:val="00346049"/>
    <w:rsid w:val="00352CEE"/>
    <w:rsid w:val="00360439"/>
    <w:rsid w:val="003651DA"/>
    <w:rsid w:val="00366625"/>
    <w:rsid w:val="0037630F"/>
    <w:rsid w:val="00377B3A"/>
    <w:rsid w:val="00385713"/>
    <w:rsid w:val="00396A58"/>
    <w:rsid w:val="003A16E9"/>
    <w:rsid w:val="003A27E6"/>
    <w:rsid w:val="003A6455"/>
    <w:rsid w:val="003A6876"/>
    <w:rsid w:val="003B53E8"/>
    <w:rsid w:val="003C3E43"/>
    <w:rsid w:val="003C7388"/>
    <w:rsid w:val="003E7FD3"/>
    <w:rsid w:val="003F7B57"/>
    <w:rsid w:val="004016FD"/>
    <w:rsid w:val="004023FD"/>
    <w:rsid w:val="00411CCA"/>
    <w:rsid w:val="00423D35"/>
    <w:rsid w:val="004251A0"/>
    <w:rsid w:val="00426793"/>
    <w:rsid w:val="0043309B"/>
    <w:rsid w:val="004457BC"/>
    <w:rsid w:val="00450E1A"/>
    <w:rsid w:val="0045223A"/>
    <w:rsid w:val="00455A6B"/>
    <w:rsid w:val="00464165"/>
    <w:rsid w:val="004763AD"/>
    <w:rsid w:val="00483E3C"/>
    <w:rsid w:val="00490800"/>
    <w:rsid w:val="0049101C"/>
    <w:rsid w:val="00491F00"/>
    <w:rsid w:val="004920D1"/>
    <w:rsid w:val="004921F8"/>
    <w:rsid w:val="004966FD"/>
    <w:rsid w:val="004A08E0"/>
    <w:rsid w:val="004A43E8"/>
    <w:rsid w:val="004B072F"/>
    <w:rsid w:val="004B264C"/>
    <w:rsid w:val="004B3138"/>
    <w:rsid w:val="004C1C70"/>
    <w:rsid w:val="004C5D61"/>
    <w:rsid w:val="004D0AB5"/>
    <w:rsid w:val="004D591A"/>
    <w:rsid w:val="004D5A26"/>
    <w:rsid w:val="004E1903"/>
    <w:rsid w:val="004E366D"/>
    <w:rsid w:val="004E5985"/>
    <w:rsid w:val="004E5EF7"/>
    <w:rsid w:val="004F331D"/>
    <w:rsid w:val="00511B87"/>
    <w:rsid w:val="0051369F"/>
    <w:rsid w:val="005148C8"/>
    <w:rsid w:val="0052265A"/>
    <w:rsid w:val="00524F43"/>
    <w:rsid w:val="0052663D"/>
    <w:rsid w:val="005358C9"/>
    <w:rsid w:val="005379DA"/>
    <w:rsid w:val="00540D63"/>
    <w:rsid w:val="00542C46"/>
    <w:rsid w:val="00545EEA"/>
    <w:rsid w:val="00546A78"/>
    <w:rsid w:val="005526B3"/>
    <w:rsid w:val="00553038"/>
    <w:rsid w:val="00555947"/>
    <w:rsid w:val="0055624D"/>
    <w:rsid w:val="00556919"/>
    <w:rsid w:val="00565587"/>
    <w:rsid w:val="00565F49"/>
    <w:rsid w:val="005666D8"/>
    <w:rsid w:val="00567BDB"/>
    <w:rsid w:val="00570214"/>
    <w:rsid w:val="005879AE"/>
    <w:rsid w:val="0059787C"/>
    <w:rsid w:val="005A479B"/>
    <w:rsid w:val="005B071A"/>
    <w:rsid w:val="005B6E28"/>
    <w:rsid w:val="005C16D0"/>
    <w:rsid w:val="005C5F1F"/>
    <w:rsid w:val="005D06F9"/>
    <w:rsid w:val="005E40F2"/>
    <w:rsid w:val="005E7A69"/>
    <w:rsid w:val="006003D6"/>
    <w:rsid w:val="00601159"/>
    <w:rsid w:val="00601FE7"/>
    <w:rsid w:val="0060354A"/>
    <w:rsid w:val="00607C6B"/>
    <w:rsid w:val="006113CB"/>
    <w:rsid w:val="00612B8C"/>
    <w:rsid w:val="00624BE9"/>
    <w:rsid w:val="006444E2"/>
    <w:rsid w:val="0065723A"/>
    <w:rsid w:val="00664671"/>
    <w:rsid w:val="006651C9"/>
    <w:rsid w:val="0067328E"/>
    <w:rsid w:val="00675873"/>
    <w:rsid w:val="00681E1C"/>
    <w:rsid w:val="00686402"/>
    <w:rsid w:val="00691AAF"/>
    <w:rsid w:val="00691ACD"/>
    <w:rsid w:val="006A7A8D"/>
    <w:rsid w:val="006A7BDD"/>
    <w:rsid w:val="006B797B"/>
    <w:rsid w:val="006D1D6D"/>
    <w:rsid w:val="006D25F6"/>
    <w:rsid w:val="006D7991"/>
    <w:rsid w:val="006E586D"/>
    <w:rsid w:val="006F0FEC"/>
    <w:rsid w:val="006F2950"/>
    <w:rsid w:val="00706225"/>
    <w:rsid w:val="007104EF"/>
    <w:rsid w:val="00713D79"/>
    <w:rsid w:val="0072611E"/>
    <w:rsid w:val="00741BE2"/>
    <w:rsid w:val="007509B7"/>
    <w:rsid w:val="007518E0"/>
    <w:rsid w:val="00756F48"/>
    <w:rsid w:val="00757747"/>
    <w:rsid w:val="0077444E"/>
    <w:rsid w:val="007770BA"/>
    <w:rsid w:val="00777DDF"/>
    <w:rsid w:val="00787A03"/>
    <w:rsid w:val="00794B7A"/>
    <w:rsid w:val="00797CA9"/>
    <w:rsid w:val="007A0537"/>
    <w:rsid w:val="007A31E1"/>
    <w:rsid w:val="007A4334"/>
    <w:rsid w:val="007B680B"/>
    <w:rsid w:val="007B7993"/>
    <w:rsid w:val="007D6A7B"/>
    <w:rsid w:val="007E69AF"/>
    <w:rsid w:val="007E7709"/>
    <w:rsid w:val="007F264F"/>
    <w:rsid w:val="007F3C8B"/>
    <w:rsid w:val="0080060B"/>
    <w:rsid w:val="00800FF2"/>
    <w:rsid w:val="008011CE"/>
    <w:rsid w:val="00805B01"/>
    <w:rsid w:val="00814AB7"/>
    <w:rsid w:val="00822746"/>
    <w:rsid w:val="00823F72"/>
    <w:rsid w:val="008301E0"/>
    <w:rsid w:val="008328E9"/>
    <w:rsid w:val="00833513"/>
    <w:rsid w:val="00833687"/>
    <w:rsid w:val="00834C0F"/>
    <w:rsid w:val="008403F6"/>
    <w:rsid w:val="00842455"/>
    <w:rsid w:val="00851E93"/>
    <w:rsid w:val="00853F9F"/>
    <w:rsid w:val="00855050"/>
    <w:rsid w:val="0086115F"/>
    <w:rsid w:val="00865854"/>
    <w:rsid w:val="00883D72"/>
    <w:rsid w:val="00892EFE"/>
    <w:rsid w:val="0089590C"/>
    <w:rsid w:val="00895E57"/>
    <w:rsid w:val="00897306"/>
    <w:rsid w:val="008A22CD"/>
    <w:rsid w:val="008C2168"/>
    <w:rsid w:val="008D549D"/>
    <w:rsid w:val="008E19E4"/>
    <w:rsid w:val="008E2E39"/>
    <w:rsid w:val="008F0E01"/>
    <w:rsid w:val="008F730E"/>
    <w:rsid w:val="008F73F3"/>
    <w:rsid w:val="00901E3D"/>
    <w:rsid w:val="00902ED6"/>
    <w:rsid w:val="00903422"/>
    <w:rsid w:val="009103E6"/>
    <w:rsid w:val="00910EED"/>
    <w:rsid w:val="00910F9E"/>
    <w:rsid w:val="00916F29"/>
    <w:rsid w:val="009424B0"/>
    <w:rsid w:val="0095004E"/>
    <w:rsid w:val="00963082"/>
    <w:rsid w:val="00964463"/>
    <w:rsid w:val="0097283C"/>
    <w:rsid w:val="009816C3"/>
    <w:rsid w:val="00986268"/>
    <w:rsid w:val="009916F9"/>
    <w:rsid w:val="0099541E"/>
    <w:rsid w:val="009A243F"/>
    <w:rsid w:val="009A3E87"/>
    <w:rsid w:val="009D72AE"/>
    <w:rsid w:val="009F0B78"/>
    <w:rsid w:val="009F1202"/>
    <w:rsid w:val="009F1444"/>
    <w:rsid w:val="009F24DA"/>
    <w:rsid w:val="009F452D"/>
    <w:rsid w:val="00A050EE"/>
    <w:rsid w:val="00A11B85"/>
    <w:rsid w:val="00A14FF6"/>
    <w:rsid w:val="00A170F9"/>
    <w:rsid w:val="00A23241"/>
    <w:rsid w:val="00A240F8"/>
    <w:rsid w:val="00A33F8B"/>
    <w:rsid w:val="00A342D1"/>
    <w:rsid w:val="00A4273D"/>
    <w:rsid w:val="00A444F3"/>
    <w:rsid w:val="00A506CC"/>
    <w:rsid w:val="00A535A3"/>
    <w:rsid w:val="00A60896"/>
    <w:rsid w:val="00A61261"/>
    <w:rsid w:val="00A63F4A"/>
    <w:rsid w:val="00A65E83"/>
    <w:rsid w:val="00A738BA"/>
    <w:rsid w:val="00A74B49"/>
    <w:rsid w:val="00A83A2A"/>
    <w:rsid w:val="00A8632E"/>
    <w:rsid w:val="00A86B81"/>
    <w:rsid w:val="00A92F57"/>
    <w:rsid w:val="00A95B79"/>
    <w:rsid w:val="00AA1596"/>
    <w:rsid w:val="00AA37B0"/>
    <w:rsid w:val="00AA5726"/>
    <w:rsid w:val="00AB5608"/>
    <w:rsid w:val="00AB78AE"/>
    <w:rsid w:val="00AC5631"/>
    <w:rsid w:val="00AD2EF6"/>
    <w:rsid w:val="00AE4774"/>
    <w:rsid w:val="00AE4B46"/>
    <w:rsid w:val="00AF2585"/>
    <w:rsid w:val="00AF283E"/>
    <w:rsid w:val="00B12735"/>
    <w:rsid w:val="00B32954"/>
    <w:rsid w:val="00B4092F"/>
    <w:rsid w:val="00B42893"/>
    <w:rsid w:val="00B44CF6"/>
    <w:rsid w:val="00B505F3"/>
    <w:rsid w:val="00B51213"/>
    <w:rsid w:val="00B55CAE"/>
    <w:rsid w:val="00B56633"/>
    <w:rsid w:val="00B56E6B"/>
    <w:rsid w:val="00B62B8B"/>
    <w:rsid w:val="00B72624"/>
    <w:rsid w:val="00B7572C"/>
    <w:rsid w:val="00B851C8"/>
    <w:rsid w:val="00B85454"/>
    <w:rsid w:val="00B94764"/>
    <w:rsid w:val="00B96F39"/>
    <w:rsid w:val="00BA48FE"/>
    <w:rsid w:val="00BB0557"/>
    <w:rsid w:val="00BB11B7"/>
    <w:rsid w:val="00BC17F9"/>
    <w:rsid w:val="00BC6D53"/>
    <w:rsid w:val="00BE7100"/>
    <w:rsid w:val="00BF5ED3"/>
    <w:rsid w:val="00C00C20"/>
    <w:rsid w:val="00C06831"/>
    <w:rsid w:val="00C100AC"/>
    <w:rsid w:val="00C21DD5"/>
    <w:rsid w:val="00C23A5E"/>
    <w:rsid w:val="00C25892"/>
    <w:rsid w:val="00C3607D"/>
    <w:rsid w:val="00C36A00"/>
    <w:rsid w:val="00C45121"/>
    <w:rsid w:val="00C601FD"/>
    <w:rsid w:val="00C6256D"/>
    <w:rsid w:val="00C6454F"/>
    <w:rsid w:val="00C65FFA"/>
    <w:rsid w:val="00C813DF"/>
    <w:rsid w:val="00C86D2D"/>
    <w:rsid w:val="00C93716"/>
    <w:rsid w:val="00CB2961"/>
    <w:rsid w:val="00CB4089"/>
    <w:rsid w:val="00CB449B"/>
    <w:rsid w:val="00CB642E"/>
    <w:rsid w:val="00CB671D"/>
    <w:rsid w:val="00CB7D63"/>
    <w:rsid w:val="00CC0BE1"/>
    <w:rsid w:val="00CC2147"/>
    <w:rsid w:val="00CC4D25"/>
    <w:rsid w:val="00CC7A64"/>
    <w:rsid w:val="00CE1BE4"/>
    <w:rsid w:val="00CE1DF1"/>
    <w:rsid w:val="00CE407C"/>
    <w:rsid w:val="00CE4F68"/>
    <w:rsid w:val="00CE6968"/>
    <w:rsid w:val="00CF068B"/>
    <w:rsid w:val="00CF5E64"/>
    <w:rsid w:val="00CF74D6"/>
    <w:rsid w:val="00D00440"/>
    <w:rsid w:val="00D023B0"/>
    <w:rsid w:val="00D10FEC"/>
    <w:rsid w:val="00D13ED9"/>
    <w:rsid w:val="00D14FFD"/>
    <w:rsid w:val="00D22F4B"/>
    <w:rsid w:val="00D23C53"/>
    <w:rsid w:val="00D42F97"/>
    <w:rsid w:val="00D558B1"/>
    <w:rsid w:val="00D63E09"/>
    <w:rsid w:val="00D66996"/>
    <w:rsid w:val="00D77D33"/>
    <w:rsid w:val="00D9054B"/>
    <w:rsid w:val="00DA1A0B"/>
    <w:rsid w:val="00DA1E60"/>
    <w:rsid w:val="00DA2CC0"/>
    <w:rsid w:val="00DA3DDC"/>
    <w:rsid w:val="00DC2F48"/>
    <w:rsid w:val="00DC4935"/>
    <w:rsid w:val="00DD3952"/>
    <w:rsid w:val="00DD7D39"/>
    <w:rsid w:val="00DE0907"/>
    <w:rsid w:val="00DE1CA8"/>
    <w:rsid w:val="00DF34C5"/>
    <w:rsid w:val="00DF3690"/>
    <w:rsid w:val="00DF4D35"/>
    <w:rsid w:val="00E007A0"/>
    <w:rsid w:val="00E03D29"/>
    <w:rsid w:val="00E21A52"/>
    <w:rsid w:val="00E24700"/>
    <w:rsid w:val="00E2637B"/>
    <w:rsid w:val="00E3125D"/>
    <w:rsid w:val="00E4125B"/>
    <w:rsid w:val="00E43C87"/>
    <w:rsid w:val="00E463E4"/>
    <w:rsid w:val="00E470F2"/>
    <w:rsid w:val="00E50938"/>
    <w:rsid w:val="00E549F3"/>
    <w:rsid w:val="00E556CC"/>
    <w:rsid w:val="00E563FB"/>
    <w:rsid w:val="00E647F2"/>
    <w:rsid w:val="00E668CC"/>
    <w:rsid w:val="00E66989"/>
    <w:rsid w:val="00E73DAA"/>
    <w:rsid w:val="00E74289"/>
    <w:rsid w:val="00E87A70"/>
    <w:rsid w:val="00E93C60"/>
    <w:rsid w:val="00E96F34"/>
    <w:rsid w:val="00EA1D02"/>
    <w:rsid w:val="00EA5210"/>
    <w:rsid w:val="00EA5C18"/>
    <w:rsid w:val="00EA6634"/>
    <w:rsid w:val="00EB1656"/>
    <w:rsid w:val="00EB53BB"/>
    <w:rsid w:val="00EC4176"/>
    <w:rsid w:val="00EC6BA4"/>
    <w:rsid w:val="00ED3629"/>
    <w:rsid w:val="00ED6B44"/>
    <w:rsid w:val="00EE0175"/>
    <w:rsid w:val="00EE45DA"/>
    <w:rsid w:val="00EE55A0"/>
    <w:rsid w:val="00EF0B1B"/>
    <w:rsid w:val="00F00A36"/>
    <w:rsid w:val="00F0175E"/>
    <w:rsid w:val="00F12207"/>
    <w:rsid w:val="00F12394"/>
    <w:rsid w:val="00F170F2"/>
    <w:rsid w:val="00F207D4"/>
    <w:rsid w:val="00F24C7B"/>
    <w:rsid w:val="00F25E6F"/>
    <w:rsid w:val="00F4231F"/>
    <w:rsid w:val="00F466B0"/>
    <w:rsid w:val="00F54350"/>
    <w:rsid w:val="00F549C3"/>
    <w:rsid w:val="00F57D5B"/>
    <w:rsid w:val="00F61432"/>
    <w:rsid w:val="00F666FB"/>
    <w:rsid w:val="00F71411"/>
    <w:rsid w:val="00F734B9"/>
    <w:rsid w:val="00F84831"/>
    <w:rsid w:val="00F93883"/>
    <w:rsid w:val="00F95602"/>
    <w:rsid w:val="00FA06A6"/>
    <w:rsid w:val="00FA4241"/>
    <w:rsid w:val="00FA605F"/>
    <w:rsid w:val="00FE1126"/>
    <w:rsid w:val="00FE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54"/>
    <w:rPr>
      <w:rFonts w:eastAsiaTheme="minorEastAsia"/>
    </w:rPr>
  </w:style>
  <w:style w:type="paragraph" w:styleId="Heading1">
    <w:name w:val="heading 1"/>
    <w:basedOn w:val="Normal"/>
    <w:next w:val="Normal"/>
    <w:link w:val="Heading1Char"/>
    <w:uiPriority w:val="9"/>
    <w:qFormat/>
    <w:rsid w:val="008227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27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27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5A6B"/>
    <w:rPr>
      <w:sz w:val="16"/>
      <w:szCs w:val="16"/>
    </w:rPr>
  </w:style>
  <w:style w:type="paragraph" w:styleId="CommentText">
    <w:name w:val="annotation text"/>
    <w:basedOn w:val="Normal"/>
    <w:link w:val="CommentTextChar"/>
    <w:uiPriority w:val="99"/>
    <w:semiHidden/>
    <w:unhideWhenUsed/>
    <w:rsid w:val="00455A6B"/>
    <w:pPr>
      <w:spacing w:line="240" w:lineRule="auto"/>
    </w:pPr>
    <w:rPr>
      <w:sz w:val="20"/>
      <w:szCs w:val="20"/>
    </w:rPr>
  </w:style>
  <w:style w:type="character" w:customStyle="1" w:styleId="CommentTextChar">
    <w:name w:val="Comment Text Char"/>
    <w:basedOn w:val="DefaultParagraphFont"/>
    <w:link w:val="CommentText"/>
    <w:uiPriority w:val="99"/>
    <w:semiHidden/>
    <w:rsid w:val="00455A6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55A6B"/>
    <w:rPr>
      <w:b/>
      <w:bCs/>
    </w:rPr>
  </w:style>
  <w:style w:type="character" w:customStyle="1" w:styleId="CommentSubjectChar">
    <w:name w:val="Comment Subject Char"/>
    <w:basedOn w:val="CommentTextChar"/>
    <w:link w:val="CommentSubject"/>
    <w:uiPriority w:val="99"/>
    <w:semiHidden/>
    <w:rsid w:val="00455A6B"/>
    <w:rPr>
      <w:rFonts w:eastAsiaTheme="minorEastAsia"/>
      <w:b/>
      <w:bCs/>
      <w:sz w:val="20"/>
      <w:szCs w:val="20"/>
    </w:rPr>
  </w:style>
  <w:style w:type="paragraph" w:styleId="BalloonText">
    <w:name w:val="Balloon Text"/>
    <w:basedOn w:val="Normal"/>
    <w:link w:val="BalloonTextChar"/>
    <w:uiPriority w:val="99"/>
    <w:semiHidden/>
    <w:unhideWhenUsed/>
    <w:rsid w:val="0045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6B"/>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6011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159"/>
    <w:rPr>
      <w:rFonts w:eastAsiaTheme="minorEastAsia"/>
      <w:sz w:val="20"/>
      <w:szCs w:val="20"/>
    </w:rPr>
  </w:style>
  <w:style w:type="character" w:styleId="FootnoteReference">
    <w:name w:val="footnote reference"/>
    <w:basedOn w:val="DefaultParagraphFont"/>
    <w:uiPriority w:val="99"/>
    <w:semiHidden/>
    <w:unhideWhenUsed/>
    <w:rsid w:val="00601159"/>
    <w:rPr>
      <w:vertAlign w:val="superscript"/>
    </w:rPr>
  </w:style>
  <w:style w:type="paragraph" w:styleId="Header">
    <w:name w:val="header"/>
    <w:basedOn w:val="Normal"/>
    <w:link w:val="HeaderChar"/>
    <w:uiPriority w:val="99"/>
    <w:unhideWhenUsed/>
    <w:rsid w:val="00DA1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0B"/>
    <w:rPr>
      <w:rFonts w:eastAsiaTheme="minorEastAsia"/>
    </w:rPr>
  </w:style>
  <w:style w:type="paragraph" w:styleId="Footer">
    <w:name w:val="footer"/>
    <w:basedOn w:val="Normal"/>
    <w:link w:val="FooterChar"/>
    <w:uiPriority w:val="99"/>
    <w:unhideWhenUsed/>
    <w:rsid w:val="00DA1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0B"/>
    <w:rPr>
      <w:rFonts w:eastAsiaTheme="minorEastAsia"/>
    </w:rPr>
  </w:style>
  <w:style w:type="character" w:customStyle="1" w:styleId="Heading1Char">
    <w:name w:val="Heading 1 Char"/>
    <w:basedOn w:val="DefaultParagraphFont"/>
    <w:link w:val="Heading1"/>
    <w:uiPriority w:val="9"/>
    <w:rsid w:val="008227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27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274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80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54"/>
    <w:rPr>
      <w:rFonts w:eastAsiaTheme="minorEastAsia"/>
    </w:rPr>
  </w:style>
  <w:style w:type="paragraph" w:styleId="Heading1">
    <w:name w:val="heading 1"/>
    <w:basedOn w:val="Normal"/>
    <w:next w:val="Normal"/>
    <w:link w:val="Heading1Char"/>
    <w:uiPriority w:val="9"/>
    <w:qFormat/>
    <w:rsid w:val="008227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27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27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5A6B"/>
    <w:rPr>
      <w:sz w:val="16"/>
      <w:szCs w:val="16"/>
    </w:rPr>
  </w:style>
  <w:style w:type="paragraph" w:styleId="CommentText">
    <w:name w:val="annotation text"/>
    <w:basedOn w:val="Normal"/>
    <w:link w:val="CommentTextChar"/>
    <w:uiPriority w:val="99"/>
    <w:semiHidden/>
    <w:unhideWhenUsed/>
    <w:rsid w:val="00455A6B"/>
    <w:pPr>
      <w:spacing w:line="240" w:lineRule="auto"/>
    </w:pPr>
    <w:rPr>
      <w:sz w:val="20"/>
      <w:szCs w:val="20"/>
    </w:rPr>
  </w:style>
  <w:style w:type="character" w:customStyle="1" w:styleId="CommentTextChar">
    <w:name w:val="Comment Text Char"/>
    <w:basedOn w:val="DefaultParagraphFont"/>
    <w:link w:val="CommentText"/>
    <w:uiPriority w:val="99"/>
    <w:semiHidden/>
    <w:rsid w:val="00455A6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55A6B"/>
    <w:rPr>
      <w:b/>
      <w:bCs/>
    </w:rPr>
  </w:style>
  <w:style w:type="character" w:customStyle="1" w:styleId="CommentSubjectChar">
    <w:name w:val="Comment Subject Char"/>
    <w:basedOn w:val="CommentTextChar"/>
    <w:link w:val="CommentSubject"/>
    <w:uiPriority w:val="99"/>
    <w:semiHidden/>
    <w:rsid w:val="00455A6B"/>
    <w:rPr>
      <w:rFonts w:eastAsiaTheme="minorEastAsia"/>
      <w:b/>
      <w:bCs/>
      <w:sz w:val="20"/>
      <w:szCs w:val="20"/>
    </w:rPr>
  </w:style>
  <w:style w:type="paragraph" w:styleId="BalloonText">
    <w:name w:val="Balloon Text"/>
    <w:basedOn w:val="Normal"/>
    <w:link w:val="BalloonTextChar"/>
    <w:uiPriority w:val="99"/>
    <w:semiHidden/>
    <w:unhideWhenUsed/>
    <w:rsid w:val="0045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6B"/>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6011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159"/>
    <w:rPr>
      <w:rFonts w:eastAsiaTheme="minorEastAsia"/>
      <w:sz w:val="20"/>
      <w:szCs w:val="20"/>
    </w:rPr>
  </w:style>
  <w:style w:type="character" w:styleId="FootnoteReference">
    <w:name w:val="footnote reference"/>
    <w:basedOn w:val="DefaultParagraphFont"/>
    <w:uiPriority w:val="99"/>
    <w:semiHidden/>
    <w:unhideWhenUsed/>
    <w:rsid w:val="00601159"/>
    <w:rPr>
      <w:vertAlign w:val="superscript"/>
    </w:rPr>
  </w:style>
  <w:style w:type="paragraph" w:styleId="Header">
    <w:name w:val="header"/>
    <w:basedOn w:val="Normal"/>
    <w:link w:val="HeaderChar"/>
    <w:uiPriority w:val="99"/>
    <w:unhideWhenUsed/>
    <w:rsid w:val="00DA1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0B"/>
    <w:rPr>
      <w:rFonts w:eastAsiaTheme="minorEastAsia"/>
    </w:rPr>
  </w:style>
  <w:style w:type="paragraph" w:styleId="Footer">
    <w:name w:val="footer"/>
    <w:basedOn w:val="Normal"/>
    <w:link w:val="FooterChar"/>
    <w:uiPriority w:val="99"/>
    <w:unhideWhenUsed/>
    <w:rsid w:val="00DA1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0B"/>
    <w:rPr>
      <w:rFonts w:eastAsiaTheme="minorEastAsia"/>
    </w:rPr>
  </w:style>
  <w:style w:type="character" w:customStyle="1" w:styleId="Heading1Char">
    <w:name w:val="Heading 1 Char"/>
    <w:basedOn w:val="DefaultParagraphFont"/>
    <w:link w:val="Heading1"/>
    <w:uiPriority w:val="9"/>
    <w:rsid w:val="008227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27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274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80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351">
      <w:bodyDiv w:val="1"/>
      <w:marLeft w:val="0"/>
      <w:marRight w:val="0"/>
      <w:marTop w:val="0"/>
      <w:marBottom w:val="0"/>
      <w:divBdr>
        <w:top w:val="none" w:sz="0" w:space="0" w:color="auto"/>
        <w:left w:val="none" w:sz="0" w:space="0" w:color="auto"/>
        <w:bottom w:val="none" w:sz="0" w:space="0" w:color="auto"/>
        <w:right w:val="none" w:sz="0" w:space="0" w:color="auto"/>
      </w:divBdr>
    </w:div>
    <w:div w:id="37123665">
      <w:bodyDiv w:val="1"/>
      <w:marLeft w:val="0"/>
      <w:marRight w:val="0"/>
      <w:marTop w:val="0"/>
      <w:marBottom w:val="0"/>
      <w:divBdr>
        <w:top w:val="none" w:sz="0" w:space="0" w:color="auto"/>
        <w:left w:val="none" w:sz="0" w:space="0" w:color="auto"/>
        <w:bottom w:val="none" w:sz="0" w:space="0" w:color="auto"/>
        <w:right w:val="none" w:sz="0" w:space="0" w:color="auto"/>
      </w:divBdr>
    </w:div>
    <w:div w:id="42407688">
      <w:bodyDiv w:val="1"/>
      <w:marLeft w:val="0"/>
      <w:marRight w:val="0"/>
      <w:marTop w:val="0"/>
      <w:marBottom w:val="0"/>
      <w:divBdr>
        <w:top w:val="none" w:sz="0" w:space="0" w:color="auto"/>
        <w:left w:val="none" w:sz="0" w:space="0" w:color="auto"/>
        <w:bottom w:val="none" w:sz="0" w:space="0" w:color="auto"/>
        <w:right w:val="none" w:sz="0" w:space="0" w:color="auto"/>
      </w:divBdr>
    </w:div>
    <w:div w:id="51193300">
      <w:bodyDiv w:val="1"/>
      <w:marLeft w:val="0"/>
      <w:marRight w:val="0"/>
      <w:marTop w:val="0"/>
      <w:marBottom w:val="0"/>
      <w:divBdr>
        <w:top w:val="none" w:sz="0" w:space="0" w:color="auto"/>
        <w:left w:val="none" w:sz="0" w:space="0" w:color="auto"/>
        <w:bottom w:val="none" w:sz="0" w:space="0" w:color="auto"/>
        <w:right w:val="none" w:sz="0" w:space="0" w:color="auto"/>
      </w:divBdr>
    </w:div>
    <w:div w:id="85275544">
      <w:bodyDiv w:val="1"/>
      <w:marLeft w:val="0"/>
      <w:marRight w:val="0"/>
      <w:marTop w:val="0"/>
      <w:marBottom w:val="0"/>
      <w:divBdr>
        <w:top w:val="none" w:sz="0" w:space="0" w:color="auto"/>
        <w:left w:val="none" w:sz="0" w:space="0" w:color="auto"/>
        <w:bottom w:val="none" w:sz="0" w:space="0" w:color="auto"/>
        <w:right w:val="none" w:sz="0" w:space="0" w:color="auto"/>
      </w:divBdr>
    </w:div>
    <w:div w:id="107742723">
      <w:bodyDiv w:val="1"/>
      <w:marLeft w:val="0"/>
      <w:marRight w:val="0"/>
      <w:marTop w:val="0"/>
      <w:marBottom w:val="0"/>
      <w:divBdr>
        <w:top w:val="none" w:sz="0" w:space="0" w:color="auto"/>
        <w:left w:val="none" w:sz="0" w:space="0" w:color="auto"/>
        <w:bottom w:val="none" w:sz="0" w:space="0" w:color="auto"/>
        <w:right w:val="none" w:sz="0" w:space="0" w:color="auto"/>
      </w:divBdr>
    </w:div>
    <w:div w:id="125468034">
      <w:bodyDiv w:val="1"/>
      <w:marLeft w:val="0"/>
      <w:marRight w:val="0"/>
      <w:marTop w:val="0"/>
      <w:marBottom w:val="0"/>
      <w:divBdr>
        <w:top w:val="none" w:sz="0" w:space="0" w:color="auto"/>
        <w:left w:val="none" w:sz="0" w:space="0" w:color="auto"/>
        <w:bottom w:val="none" w:sz="0" w:space="0" w:color="auto"/>
        <w:right w:val="none" w:sz="0" w:space="0" w:color="auto"/>
      </w:divBdr>
    </w:div>
    <w:div w:id="170418269">
      <w:bodyDiv w:val="1"/>
      <w:marLeft w:val="0"/>
      <w:marRight w:val="0"/>
      <w:marTop w:val="0"/>
      <w:marBottom w:val="0"/>
      <w:divBdr>
        <w:top w:val="none" w:sz="0" w:space="0" w:color="auto"/>
        <w:left w:val="none" w:sz="0" w:space="0" w:color="auto"/>
        <w:bottom w:val="none" w:sz="0" w:space="0" w:color="auto"/>
        <w:right w:val="none" w:sz="0" w:space="0" w:color="auto"/>
      </w:divBdr>
    </w:div>
    <w:div w:id="185758142">
      <w:bodyDiv w:val="1"/>
      <w:marLeft w:val="0"/>
      <w:marRight w:val="0"/>
      <w:marTop w:val="0"/>
      <w:marBottom w:val="0"/>
      <w:divBdr>
        <w:top w:val="none" w:sz="0" w:space="0" w:color="auto"/>
        <w:left w:val="none" w:sz="0" w:space="0" w:color="auto"/>
        <w:bottom w:val="none" w:sz="0" w:space="0" w:color="auto"/>
        <w:right w:val="none" w:sz="0" w:space="0" w:color="auto"/>
      </w:divBdr>
    </w:div>
    <w:div w:id="190801669">
      <w:bodyDiv w:val="1"/>
      <w:marLeft w:val="0"/>
      <w:marRight w:val="0"/>
      <w:marTop w:val="0"/>
      <w:marBottom w:val="0"/>
      <w:divBdr>
        <w:top w:val="none" w:sz="0" w:space="0" w:color="auto"/>
        <w:left w:val="none" w:sz="0" w:space="0" w:color="auto"/>
        <w:bottom w:val="none" w:sz="0" w:space="0" w:color="auto"/>
        <w:right w:val="none" w:sz="0" w:space="0" w:color="auto"/>
      </w:divBdr>
    </w:div>
    <w:div w:id="243927514">
      <w:bodyDiv w:val="1"/>
      <w:marLeft w:val="0"/>
      <w:marRight w:val="0"/>
      <w:marTop w:val="0"/>
      <w:marBottom w:val="0"/>
      <w:divBdr>
        <w:top w:val="none" w:sz="0" w:space="0" w:color="auto"/>
        <w:left w:val="none" w:sz="0" w:space="0" w:color="auto"/>
        <w:bottom w:val="none" w:sz="0" w:space="0" w:color="auto"/>
        <w:right w:val="none" w:sz="0" w:space="0" w:color="auto"/>
      </w:divBdr>
    </w:div>
    <w:div w:id="246887458">
      <w:bodyDiv w:val="1"/>
      <w:marLeft w:val="0"/>
      <w:marRight w:val="0"/>
      <w:marTop w:val="0"/>
      <w:marBottom w:val="0"/>
      <w:divBdr>
        <w:top w:val="none" w:sz="0" w:space="0" w:color="auto"/>
        <w:left w:val="none" w:sz="0" w:space="0" w:color="auto"/>
        <w:bottom w:val="none" w:sz="0" w:space="0" w:color="auto"/>
        <w:right w:val="none" w:sz="0" w:space="0" w:color="auto"/>
      </w:divBdr>
    </w:div>
    <w:div w:id="273101124">
      <w:bodyDiv w:val="1"/>
      <w:marLeft w:val="0"/>
      <w:marRight w:val="0"/>
      <w:marTop w:val="0"/>
      <w:marBottom w:val="0"/>
      <w:divBdr>
        <w:top w:val="none" w:sz="0" w:space="0" w:color="auto"/>
        <w:left w:val="none" w:sz="0" w:space="0" w:color="auto"/>
        <w:bottom w:val="none" w:sz="0" w:space="0" w:color="auto"/>
        <w:right w:val="none" w:sz="0" w:space="0" w:color="auto"/>
      </w:divBdr>
    </w:div>
    <w:div w:id="294651610">
      <w:bodyDiv w:val="1"/>
      <w:marLeft w:val="0"/>
      <w:marRight w:val="0"/>
      <w:marTop w:val="0"/>
      <w:marBottom w:val="0"/>
      <w:divBdr>
        <w:top w:val="none" w:sz="0" w:space="0" w:color="auto"/>
        <w:left w:val="none" w:sz="0" w:space="0" w:color="auto"/>
        <w:bottom w:val="none" w:sz="0" w:space="0" w:color="auto"/>
        <w:right w:val="none" w:sz="0" w:space="0" w:color="auto"/>
      </w:divBdr>
    </w:div>
    <w:div w:id="358160697">
      <w:bodyDiv w:val="1"/>
      <w:marLeft w:val="0"/>
      <w:marRight w:val="0"/>
      <w:marTop w:val="0"/>
      <w:marBottom w:val="0"/>
      <w:divBdr>
        <w:top w:val="none" w:sz="0" w:space="0" w:color="auto"/>
        <w:left w:val="none" w:sz="0" w:space="0" w:color="auto"/>
        <w:bottom w:val="none" w:sz="0" w:space="0" w:color="auto"/>
        <w:right w:val="none" w:sz="0" w:space="0" w:color="auto"/>
      </w:divBdr>
    </w:div>
    <w:div w:id="367461517">
      <w:bodyDiv w:val="1"/>
      <w:marLeft w:val="0"/>
      <w:marRight w:val="0"/>
      <w:marTop w:val="0"/>
      <w:marBottom w:val="0"/>
      <w:divBdr>
        <w:top w:val="none" w:sz="0" w:space="0" w:color="auto"/>
        <w:left w:val="none" w:sz="0" w:space="0" w:color="auto"/>
        <w:bottom w:val="none" w:sz="0" w:space="0" w:color="auto"/>
        <w:right w:val="none" w:sz="0" w:space="0" w:color="auto"/>
      </w:divBdr>
    </w:div>
    <w:div w:id="370039722">
      <w:bodyDiv w:val="1"/>
      <w:marLeft w:val="0"/>
      <w:marRight w:val="0"/>
      <w:marTop w:val="0"/>
      <w:marBottom w:val="0"/>
      <w:divBdr>
        <w:top w:val="none" w:sz="0" w:space="0" w:color="auto"/>
        <w:left w:val="none" w:sz="0" w:space="0" w:color="auto"/>
        <w:bottom w:val="none" w:sz="0" w:space="0" w:color="auto"/>
        <w:right w:val="none" w:sz="0" w:space="0" w:color="auto"/>
      </w:divBdr>
    </w:div>
    <w:div w:id="385570763">
      <w:bodyDiv w:val="1"/>
      <w:marLeft w:val="0"/>
      <w:marRight w:val="0"/>
      <w:marTop w:val="0"/>
      <w:marBottom w:val="0"/>
      <w:divBdr>
        <w:top w:val="none" w:sz="0" w:space="0" w:color="auto"/>
        <w:left w:val="none" w:sz="0" w:space="0" w:color="auto"/>
        <w:bottom w:val="none" w:sz="0" w:space="0" w:color="auto"/>
        <w:right w:val="none" w:sz="0" w:space="0" w:color="auto"/>
      </w:divBdr>
    </w:div>
    <w:div w:id="449785489">
      <w:bodyDiv w:val="1"/>
      <w:marLeft w:val="0"/>
      <w:marRight w:val="0"/>
      <w:marTop w:val="0"/>
      <w:marBottom w:val="0"/>
      <w:divBdr>
        <w:top w:val="none" w:sz="0" w:space="0" w:color="auto"/>
        <w:left w:val="none" w:sz="0" w:space="0" w:color="auto"/>
        <w:bottom w:val="none" w:sz="0" w:space="0" w:color="auto"/>
        <w:right w:val="none" w:sz="0" w:space="0" w:color="auto"/>
      </w:divBdr>
    </w:div>
    <w:div w:id="466515021">
      <w:bodyDiv w:val="1"/>
      <w:marLeft w:val="0"/>
      <w:marRight w:val="0"/>
      <w:marTop w:val="0"/>
      <w:marBottom w:val="0"/>
      <w:divBdr>
        <w:top w:val="none" w:sz="0" w:space="0" w:color="auto"/>
        <w:left w:val="none" w:sz="0" w:space="0" w:color="auto"/>
        <w:bottom w:val="none" w:sz="0" w:space="0" w:color="auto"/>
        <w:right w:val="none" w:sz="0" w:space="0" w:color="auto"/>
      </w:divBdr>
    </w:div>
    <w:div w:id="471942908">
      <w:bodyDiv w:val="1"/>
      <w:marLeft w:val="0"/>
      <w:marRight w:val="0"/>
      <w:marTop w:val="0"/>
      <w:marBottom w:val="0"/>
      <w:divBdr>
        <w:top w:val="none" w:sz="0" w:space="0" w:color="auto"/>
        <w:left w:val="none" w:sz="0" w:space="0" w:color="auto"/>
        <w:bottom w:val="none" w:sz="0" w:space="0" w:color="auto"/>
        <w:right w:val="none" w:sz="0" w:space="0" w:color="auto"/>
      </w:divBdr>
    </w:div>
    <w:div w:id="504175522">
      <w:bodyDiv w:val="1"/>
      <w:marLeft w:val="0"/>
      <w:marRight w:val="0"/>
      <w:marTop w:val="0"/>
      <w:marBottom w:val="0"/>
      <w:divBdr>
        <w:top w:val="none" w:sz="0" w:space="0" w:color="auto"/>
        <w:left w:val="none" w:sz="0" w:space="0" w:color="auto"/>
        <w:bottom w:val="none" w:sz="0" w:space="0" w:color="auto"/>
        <w:right w:val="none" w:sz="0" w:space="0" w:color="auto"/>
      </w:divBdr>
    </w:div>
    <w:div w:id="526597928">
      <w:bodyDiv w:val="1"/>
      <w:marLeft w:val="0"/>
      <w:marRight w:val="0"/>
      <w:marTop w:val="0"/>
      <w:marBottom w:val="0"/>
      <w:divBdr>
        <w:top w:val="none" w:sz="0" w:space="0" w:color="auto"/>
        <w:left w:val="none" w:sz="0" w:space="0" w:color="auto"/>
        <w:bottom w:val="none" w:sz="0" w:space="0" w:color="auto"/>
        <w:right w:val="none" w:sz="0" w:space="0" w:color="auto"/>
      </w:divBdr>
    </w:div>
    <w:div w:id="539754766">
      <w:bodyDiv w:val="1"/>
      <w:marLeft w:val="0"/>
      <w:marRight w:val="0"/>
      <w:marTop w:val="0"/>
      <w:marBottom w:val="0"/>
      <w:divBdr>
        <w:top w:val="none" w:sz="0" w:space="0" w:color="auto"/>
        <w:left w:val="none" w:sz="0" w:space="0" w:color="auto"/>
        <w:bottom w:val="none" w:sz="0" w:space="0" w:color="auto"/>
        <w:right w:val="none" w:sz="0" w:space="0" w:color="auto"/>
      </w:divBdr>
    </w:div>
    <w:div w:id="548221897">
      <w:bodyDiv w:val="1"/>
      <w:marLeft w:val="0"/>
      <w:marRight w:val="0"/>
      <w:marTop w:val="0"/>
      <w:marBottom w:val="0"/>
      <w:divBdr>
        <w:top w:val="none" w:sz="0" w:space="0" w:color="auto"/>
        <w:left w:val="none" w:sz="0" w:space="0" w:color="auto"/>
        <w:bottom w:val="none" w:sz="0" w:space="0" w:color="auto"/>
        <w:right w:val="none" w:sz="0" w:space="0" w:color="auto"/>
      </w:divBdr>
    </w:div>
    <w:div w:id="552932839">
      <w:bodyDiv w:val="1"/>
      <w:marLeft w:val="0"/>
      <w:marRight w:val="0"/>
      <w:marTop w:val="0"/>
      <w:marBottom w:val="0"/>
      <w:divBdr>
        <w:top w:val="none" w:sz="0" w:space="0" w:color="auto"/>
        <w:left w:val="none" w:sz="0" w:space="0" w:color="auto"/>
        <w:bottom w:val="none" w:sz="0" w:space="0" w:color="auto"/>
        <w:right w:val="none" w:sz="0" w:space="0" w:color="auto"/>
      </w:divBdr>
    </w:div>
    <w:div w:id="553929988">
      <w:bodyDiv w:val="1"/>
      <w:marLeft w:val="0"/>
      <w:marRight w:val="0"/>
      <w:marTop w:val="0"/>
      <w:marBottom w:val="0"/>
      <w:divBdr>
        <w:top w:val="none" w:sz="0" w:space="0" w:color="auto"/>
        <w:left w:val="none" w:sz="0" w:space="0" w:color="auto"/>
        <w:bottom w:val="none" w:sz="0" w:space="0" w:color="auto"/>
        <w:right w:val="none" w:sz="0" w:space="0" w:color="auto"/>
      </w:divBdr>
    </w:div>
    <w:div w:id="561018010">
      <w:bodyDiv w:val="1"/>
      <w:marLeft w:val="0"/>
      <w:marRight w:val="0"/>
      <w:marTop w:val="0"/>
      <w:marBottom w:val="0"/>
      <w:divBdr>
        <w:top w:val="none" w:sz="0" w:space="0" w:color="auto"/>
        <w:left w:val="none" w:sz="0" w:space="0" w:color="auto"/>
        <w:bottom w:val="none" w:sz="0" w:space="0" w:color="auto"/>
        <w:right w:val="none" w:sz="0" w:space="0" w:color="auto"/>
      </w:divBdr>
    </w:div>
    <w:div w:id="609699653">
      <w:bodyDiv w:val="1"/>
      <w:marLeft w:val="0"/>
      <w:marRight w:val="0"/>
      <w:marTop w:val="0"/>
      <w:marBottom w:val="0"/>
      <w:divBdr>
        <w:top w:val="none" w:sz="0" w:space="0" w:color="auto"/>
        <w:left w:val="none" w:sz="0" w:space="0" w:color="auto"/>
        <w:bottom w:val="none" w:sz="0" w:space="0" w:color="auto"/>
        <w:right w:val="none" w:sz="0" w:space="0" w:color="auto"/>
      </w:divBdr>
    </w:div>
    <w:div w:id="632056131">
      <w:bodyDiv w:val="1"/>
      <w:marLeft w:val="0"/>
      <w:marRight w:val="0"/>
      <w:marTop w:val="0"/>
      <w:marBottom w:val="0"/>
      <w:divBdr>
        <w:top w:val="none" w:sz="0" w:space="0" w:color="auto"/>
        <w:left w:val="none" w:sz="0" w:space="0" w:color="auto"/>
        <w:bottom w:val="none" w:sz="0" w:space="0" w:color="auto"/>
        <w:right w:val="none" w:sz="0" w:space="0" w:color="auto"/>
      </w:divBdr>
    </w:div>
    <w:div w:id="663708041">
      <w:bodyDiv w:val="1"/>
      <w:marLeft w:val="0"/>
      <w:marRight w:val="0"/>
      <w:marTop w:val="0"/>
      <w:marBottom w:val="0"/>
      <w:divBdr>
        <w:top w:val="none" w:sz="0" w:space="0" w:color="auto"/>
        <w:left w:val="none" w:sz="0" w:space="0" w:color="auto"/>
        <w:bottom w:val="none" w:sz="0" w:space="0" w:color="auto"/>
        <w:right w:val="none" w:sz="0" w:space="0" w:color="auto"/>
      </w:divBdr>
    </w:div>
    <w:div w:id="713234675">
      <w:bodyDiv w:val="1"/>
      <w:marLeft w:val="0"/>
      <w:marRight w:val="0"/>
      <w:marTop w:val="0"/>
      <w:marBottom w:val="0"/>
      <w:divBdr>
        <w:top w:val="none" w:sz="0" w:space="0" w:color="auto"/>
        <w:left w:val="none" w:sz="0" w:space="0" w:color="auto"/>
        <w:bottom w:val="none" w:sz="0" w:space="0" w:color="auto"/>
        <w:right w:val="none" w:sz="0" w:space="0" w:color="auto"/>
      </w:divBdr>
    </w:div>
    <w:div w:id="720593102">
      <w:bodyDiv w:val="1"/>
      <w:marLeft w:val="0"/>
      <w:marRight w:val="0"/>
      <w:marTop w:val="0"/>
      <w:marBottom w:val="0"/>
      <w:divBdr>
        <w:top w:val="none" w:sz="0" w:space="0" w:color="auto"/>
        <w:left w:val="none" w:sz="0" w:space="0" w:color="auto"/>
        <w:bottom w:val="none" w:sz="0" w:space="0" w:color="auto"/>
        <w:right w:val="none" w:sz="0" w:space="0" w:color="auto"/>
      </w:divBdr>
    </w:div>
    <w:div w:id="744455396">
      <w:bodyDiv w:val="1"/>
      <w:marLeft w:val="0"/>
      <w:marRight w:val="0"/>
      <w:marTop w:val="0"/>
      <w:marBottom w:val="0"/>
      <w:divBdr>
        <w:top w:val="none" w:sz="0" w:space="0" w:color="auto"/>
        <w:left w:val="none" w:sz="0" w:space="0" w:color="auto"/>
        <w:bottom w:val="none" w:sz="0" w:space="0" w:color="auto"/>
        <w:right w:val="none" w:sz="0" w:space="0" w:color="auto"/>
      </w:divBdr>
    </w:div>
    <w:div w:id="761149747">
      <w:bodyDiv w:val="1"/>
      <w:marLeft w:val="0"/>
      <w:marRight w:val="0"/>
      <w:marTop w:val="0"/>
      <w:marBottom w:val="0"/>
      <w:divBdr>
        <w:top w:val="none" w:sz="0" w:space="0" w:color="auto"/>
        <w:left w:val="none" w:sz="0" w:space="0" w:color="auto"/>
        <w:bottom w:val="none" w:sz="0" w:space="0" w:color="auto"/>
        <w:right w:val="none" w:sz="0" w:space="0" w:color="auto"/>
      </w:divBdr>
    </w:div>
    <w:div w:id="821120109">
      <w:bodyDiv w:val="1"/>
      <w:marLeft w:val="0"/>
      <w:marRight w:val="0"/>
      <w:marTop w:val="0"/>
      <w:marBottom w:val="0"/>
      <w:divBdr>
        <w:top w:val="none" w:sz="0" w:space="0" w:color="auto"/>
        <w:left w:val="none" w:sz="0" w:space="0" w:color="auto"/>
        <w:bottom w:val="none" w:sz="0" w:space="0" w:color="auto"/>
        <w:right w:val="none" w:sz="0" w:space="0" w:color="auto"/>
      </w:divBdr>
    </w:div>
    <w:div w:id="854272144">
      <w:bodyDiv w:val="1"/>
      <w:marLeft w:val="0"/>
      <w:marRight w:val="0"/>
      <w:marTop w:val="0"/>
      <w:marBottom w:val="0"/>
      <w:divBdr>
        <w:top w:val="none" w:sz="0" w:space="0" w:color="auto"/>
        <w:left w:val="none" w:sz="0" w:space="0" w:color="auto"/>
        <w:bottom w:val="none" w:sz="0" w:space="0" w:color="auto"/>
        <w:right w:val="none" w:sz="0" w:space="0" w:color="auto"/>
      </w:divBdr>
    </w:div>
    <w:div w:id="861823083">
      <w:bodyDiv w:val="1"/>
      <w:marLeft w:val="0"/>
      <w:marRight w:val="0"/>
      <w:marTop w:val="0"/>
      <w:marBottom w:val="0"/>
      <w:divBdr>
        <w:top w:val="none" w:sz="0" w:space="0" w:color="auto"/>
        <w:left w:val="none" w:sz="0" w:space="0" w:color="auto"/>
        <w:bottom w:val="none" w:sz="0" w:space="0" w:color="auto"/>
        <w:right w:val="none" w:sz="0" w:space="0" w:color="auto"/>
      </w:divBdr>
    </w:div>
    <w:div w:id="867527986">
      <w:bodyDiv w:val="1"/>
      <w:marLeft w:val="0"/>
      <w:marRight w:val="0"/>
      <w:marTop w:val="0"/>
      <w:marBottom w:val="0"/>
      <w:divBdr>
        <w:top w:val="none" w:sz="0" w:space="0" w:color="auto"/>
        <w:left w:val="none" w:sz="0" w:space="0" w:color="auto"/>
        <w:bottom w:val="none" w:sz="0" w:space="0" w:color="auto"/>
        <w:right w:val="none" w:sz="0" w:space="0" w:color="auto"/>
      </w:divBdr>
    </w:div>
    <w:div w:id="899633271">
      <w:bodyDiv w:val="1"/>
      <w:marLeft w:val="0"/>
      <w:marRight w:val="0"/>
      <w:marTop w:val="0"/>
      <w:marBottom w:val="0"/>
      <w:divBdr>
        <w:top w:val="none" w:sz="0" w:space="0" w:color="auto"/>
        <w:left w:val="none" w:sz="0" w:space="0" w:color="auto"/>
        <w:bottom w:val="none" w:sz="0" w:space="0" w:color="auto"/>
        <w:right w:val="none" w:sz="0" w:space="0" w:color="auto"/>
      </w:divBdr>
    </w:div>
    <w:div w:id="903637975">
      <w:bodyDiv w:val="1"/>
      <w:marLeft w:val="0"/>
      <w:marRight w:val="0"/>
      <w:marTop w:val="0"/>
      <w:marBottom w:val="0"/>
      <w:divBdr>
        <w:top w:val="none" w:sz="0" w:space="0" w:color="auto"/>
        <w:left w:val="none" w:sz="0" w:space="0" w:color="auto"/>
        <w:bottom w:val="none" w:sz="0" w:space="0" w:color="auto"/>
        <w:right w:val="none" w:sz="0" w:space="0" w:color="auto"/>
      </w:divBdr>
    </w:div>
    <w:div w:id="906190353">
      <w:bodyDiv w:val="1"/>
      <w:marLeft w:val="0"/>
      <w:marRight w:val="0"/>
      <w:marTop w:val="0"/>
      <w:marBottom w:val="0"/>
      <w:divBdr>
        <w:top w:val="none" w:sz="0" w:space="0" w:color="auto"/>
        <w:left w:val="none" w:sz="0" w:space="0" w:color="auto"/>
        <w:bottom w:val="none" w:sz="0" w:space="0" w:color="auto"/>
        <w:right w:val="none" w:sz="0" w:space="0" w:color="auto"/>
      </w:divBdr>
    </w:div>
    <w:div w:id="917716449">
      <w:bodyDiv w:val="1"/>
      <w:marLeft w:val="0"/>
      <w:marRight w:val="0"/>
      <w:marTop w:val="0"/>
      <w:marBottom w:val="0"/>
      <w:divBdr>
        <w:top w:val="none" w:sz="0" w:space="0" w:color="auto"/>
        <w:left w:val="none" w:sz="0" w:space="0" w:color="auto"/>
        <w:bottom w:val="none" w:sz="0" w:space="0" w:color="auto"/>
        <w:right w:val="none" w:sz="0" w:space="0" w:color="auto"/>
      </w:divBdr>
    </w:div>
    <w:div w:id="940769572">
      <w:bodyDiv w:val="1"/>
      <w:marLeft w:val="0"/>
      <w:marRight w:val="0"/>
      <w:marTop w:val="0"/>
      <w:marBottom w:val="0"/>
      <w:divBdr>
        <w:top w:val="none" w:sz="0" w:space="0" w:color="auto"/>
        <w:left w:val="none" w:sz="0" w:space="0" w:color="auto"/>
        <w:bottom w:val="none" w:sz="0" w:space="0" w:color="auto"/>
        <w:right w:val="none" w:sz="0" w:space="0" w:color="auto"/>
      </w:divBdr>
    </w:div>
    <w:div w:id="955672812">
      <w:bodyDiv w:val="1"/>
      <w:marLeft w:val="0"/>
      <w:marRight w:val="0"/>
      <w:marTop w:val="0"/>
      <w:marBottom w:val="0"/>
      <w:divBdr>
        <w:top w:val="none" w:sz="0" w:space="0" w:color="auto"/>
        <w:left w:val="none" w:sz="0" w:space="0" w:color="auto"/>
        <w:bottom w:val="none" w:sz="0" w:space="0" w:color="auto"/>
        <w:right w:val="none" w:sz="0" w:space="0" w:color="auto"/>
      </w:divBdr>
    </w:div>
    <w:div w:id="983192524">
      <w:bodyDiv w:val="1"/>
      <w:marLeft w:val="0"/>
      <w:marRight w:val="0"/>
      <w:marTop w:val="0"/>
      <w:marBottom w:val="0"/>
      <w:divBdr>
        <w:top w:val="none" w:sz="0" w:space="0" w:color="auto"/>
        <w:left w:val="none" w:sz="0" w:space="0" w:color="auto"/>
        <w:bottom w:val="none" w:sz="0" w:space="0" w:color="auto"/>
        <w:right w:val="none" w:sz="0" w:space="0" w:color="auto"/>
      </w:divBdr>
    </w:div>
    <w:div w:id="990982682">
      <w:bodyDiv w:val="1"/>
      <w:marLeft w:val="0"/>
      <w:marRight w:val="0"/>
      <w:marTop w:val="0"/>
      <w:marBottom w:val="0"/>
      <w:divBdr>
        <w:top w:val="none" w:sz="0" w:space="0" w:color="auto"/>
        <w:left w:val="none" w:sz="0" w:space="0" w:color="auto"/>
        <w:bottom w:val="none" w:sz="0" w:space="0" w:color="auto"/>
        <w:right w:val="none" w:sz="0" w:space="0" w:color="auto"/>
      </w:divBdr>
    </w:div>
    <w:div w:id="992946752">
      <w:bodyDiv w:val="1"/>
      <w:marLeft w:val="0"/>
      <w:marRight w:val="0"/>
      <w:marTop w:val="0"/>
      <w:marBottom w:val="0"/>
      <w:divBdr>
        <w:top w:val="none" w:sz="0" w:space="0" w:color="auto"/>
        <w:left w:val="none" w:sz="0" w:space="0" w:color="auto"/>
        <w:bottom w:val="none" w:sz="0" w:space="0" w:color="auto"/>
        <w:right w:val="none" w:sz="0" w:space="0" w:color="auto"/>
      </w:divBdr>
    </w:div>
    <w:div w:id="995111095">
      <w:bodyDiv w:val="1"/>
      <w:marLeft w:val="0"/>
      <w:marRight w:val="0"/>
      <w:marTop w:val="0"/>
      <w:marBottom w:val="0"/>
      <w:divBdr>
        <w:top w:val="none" w:sz="0" w:space="0" w:color="auto"/>
        <w:left w:val="none" w:sz="0" w:space="0" w:color="auto"/>
        <w:bottom w:val="none" w:sz="0" w:space="0" w:color="auto"/>
        <w:right w:val="none" w:sz="0" w:space="0" w:color="auto"/>
      </w:divBdr>
    </w:div>
    <w:div w:id="1001742295">
      <w:bodyDiv w:val="1"/>
      <w:marLeft w:val="0"/>
      <w:marRight w:val="0"/>
      <w:marTop w:val="0"/>
      <w:marBottom w:val="0"/>
      <w:divBdr>
        <w:top w:val="none" w:sz="0" w:space="0" w:color="auto"/>
        <w:left w:val="none" w:sz="0" w:space="0" w:color="auto"/>
        <w:bottom w:val="none" w:sz="0" w:space="0" w:color="auto"/>
        <w:right w:val="none" w:sz="0" w:space="0" w:color="auto"/>
      </w:divBdr>
    </w:div>
    <w:div w:id="1056321602">
      <w:bodyDiv w:val="1"/>
      <w:marLeft w:val="0"/>
      <w:marRight w:val="0"/>
      <w:marTop w:val="0"/>
      <w:marBottom w:val="0"/>
      <w:divBdr>
        <w:top w:val="none" w:sz="0" w:space="0" w:color="auto"/>
        <w:left w:val="none" w:sz="0" w:space="0" w:color="auto"/>
        <w:bottom w:val="none" w:sz="0" w:space="0" w:color="auto"/>
        <w:right w:val="none" w:sz="0" w:space="0" w:color="auto"/>
      </w:divBdr>
    </w:div>
    <w:div w:id="1094663890">
      <w:bodyDiv w:val="1"/>
      <w:marLeft w:val="0"/>
      <w:marRight w:val="0"/>
      <w:marTop w:val="0"/>
      <w:marBottom w:val="0"/>
      <w:divBdr>
        <w:top w:val="none" w:sz="0" w:space="0" w:color="auto"/>
        <w:left w:val="none" w:sz="0" w:space="0" w:color="auto"/>
        <w:bottom w:val="none" w:sz="0" w:space="0" w:color="auto"/>
        <w:right w:val="none" w:sz="0" w:space="0" w:color="auto"/>
      </w:divBdr>
    </w:div>
    <w:div w:id="1112556978">
      <w:bodyDiv w:val="1"/>
      <w:marLeft w:val="0"/>
      <w:marRight w:val="0"/>
      <w:marTop w:val="0"/>
      <w:marBottom w:val="0"/>
      <w:divBdr>
        <w:top w:val="none" w:sz="0" w:space="0" w:color="auto"/>
        <w:left w:val="none" w:sz="0" w:space="0" w:color="auto"/>
        <w:bottom w:val="none" w:sz="0" w:space="0" w:color="auto"/>
        <w:right w:val="none" w:sz="0" w:space="0" w:color="auto"/>
      </w:divBdr>
    </w:div>
    <w:div w:id="1122457259">
      <w:bodyDiv w:val="1"/>
      <w:marLeft w:val="0"/>
      <w:marRight w:val="0"/>
      <w:marTop w:val="0"/>
      <w:marBottom w:val="0"/>
      <w:divBdr>
        <w:top w:val="none" w:sz="0" w:space="0" w:color="auto"/>
        <w:left w:val="none" w:sz="0" w:space="0" w:color="auto"/>
        <w:bottom w:val="none" w:sz="0" w:space="0" w:color="auto"/>
        <w:right w:val="none" w:sz="0" w:space="0" w:color="auto"/>
      </w:divBdr>
    </w:div>
    <w:div w:id="1124420662">
      <w:bodyDiv w:val="1"/>
      <w:marLeft w:val="0"/>
      <w:marRight w:val="0"/>
      <w:marTop w:val="0"/>
      <w:marBottom w:val="0"/>
      <w:divBdr>
        <w:top w:val="none" w:sz="0" w:space="0" w:color="auto"/>
        <w:left w:val="none" w:sz="0" w:space="0" w:color="auto"/>
        <w:bottom w:val="none" w:sz="0" w:space="0" w:color="auto"/>
        <w:right w:val="none" w:sz="0" w:space="0" w:color="auto"/>
      </w:divBdr>
    </w:div>
    <w:div w:id="1220022532">
      <w:bodyDiv w:val="1"/>
      <w:marLeft w:val="0"/>
      <w:marRight w:val="0"/>
      <w:marTop w:val="0"/>
      <w:marBottom w:val="0"/>
      <w:divBdr>
        <w:top w:val="none" w:sz="0" w:space="0" w:color="auto"/>
        <w:left w:val="none" w:sz="0" w:space="0" w:color="auto"/>
        <w:bottom w:val="none" w:sz="0" w:space="0" w:color="auto"/>
        <w:right w:val="none" w:sz="0" w:space="0" w:color="auto"/>
      </w:divBdr>
    </w:div>
    <w:div w:id="1231768210">
      <w:bodyDiv w:val="1"/>
      <w:marLeft w:val="0"/>
      <w:marRight w:val="0"/>
      <w:marTop w:val="0"/>
      <w:marBottom w:val="0"/>
      <w:divBdr>
        <w:top w:val="none" w:sz="0" w:space="0" w:color="auto"/>
        <w:left w:val="none" w:sz="0" w:space="0" w:color="auto"/>
        <w:bottom w:val="none" w:sz="0" w:space="0" w:color="auto"/>
        <w:right w:val="none" w:sz="0" w:space="0" w:color="auto"/>
      </w:divBdr>
    </w:div>
    <w:div w:id="1233392621">
      <w:bodyDiv w:val="1"/>
      <w:marLeft w:val="0"/>
      <w:marRight w:val="0"/>
      <w:marTop w:val="0"/>
      <w:marBottom w:val="0"/>
      <w:divBdr>
        <w:top w:val="none" w:sz="0" w:space="0" w:color="auto"/>
        <w:left w:val="none" w:sz="0" w:space="0" w:color="auto"/>
        <w:bottom w:val="none" w:sz="0" w:space="0" w:color="auto"/>
        <w:right w:val="none" w:sz="0" w:space="0" w:color="auto"/>
      </w:divBdr>
    </w:div>
    <w:div w:id="1268460442">
      <w:bodyDiv w:val="1"/>
      <w:marLeft w:val="0"/>
      <w:marRight w:val="0"/>
      <w:marTop w:val="0"/>
      <w:marBottom w:val="0"/>
      <w:divBdr>
        <w:top w:val="none" w:sz="0" w:space="0" w:color="auto"/>
        <w:left w:val="none" w:sz="0" w:space="0" w:color="auto"/>
        <w:bottom w:val="none" w:sz="0" w:space="0" w:color="auto"/>
        <w:right w:val="none" w:sz="0" w:space="0" w:color="auto"/>
      </w:divBdr>
    </w:div>
    <w:div w:id="1302269432">
      <w:bodyDiv w:val="1"/>
      <w:marLeft w:val="0"/>
      <w:marRight w:val="0"/>
      <w:marTop w:val="0"/>
      <w:marBottom w:val="0"/>
      <w:divBdr>
        <w:top w:val="none" w:sz="0" w:space="0" w:color="auto"/>
        <w:left w:val="none" w:sz="0" w:space="0" w:color="auto"/>
        <w:bottom w:val="none" w:sz="0" w:space="0" w:color="auto"/>
        <w:right w:val="none" w:sz="0" w:space="0" w:color="auto"/>
      </w:divBdr>
    </w:div>
    <w:div w:id="1372342951">
      <w:bodyDiv w:val="1"/>
      <w:marLeft w:val="0"/>
      <w:marRight w:val="0"/>
      <w:marTop w:val="0"/>
      <w:marBottom w:val="0"/>
      <w:divBdr>
        <w:top w:val="none" w:sz="0" w:space="0" w:color="auto"/>
        <w:left w:val="none" w:sz="0" w:space="0" w:color="auto"/>
        <w:bottom w:val="none" w:sz="0" w:space="0" w:color="auto"/>
        <w:right w:val="none" w:sz="0" w:space="0" w:color="auto"/>
      </w:divBdr>
    </w:div>
    <w:div w:id="1408310490">
      <w:bodyDiv w:val="1"/>
      <w:marLeft w:val="0"/>
      <w:marRight w:val="0"/>
      <w:marTop w:val="0"/>
      <w:marBottom w:val="0"/>
      <w:divBdr>
        <w:top w:val="none" w:sz="0" w:space="0" w:color="auto"/>
        <w:left w:val="none" w:sz="0" w:space="0" w:color="auto"/>
        <w:bottom w:val="none" w:sz="0" w:space="0" w:color="auto"/>
        <w:right w:val="none" w:sz="0" w:space="0" w:color="auto"/>
      </w:divBdr>
    </w:div>
    <w:div w:id="1423801387">
      <w:bodyDiv w:val="1"/>
      <w:marLeft w:val="0"/>
      <w:marRight w:val="0"/>
      <w:marTop w:val="0"/>
      <w:marBottom w:val="0"/>
      <w:divBdr>
        <w:top w:val="none" w:sz="0" w:space="0" w:color="auto"/>
        <w:left w:val="none" w:sz="0" w:space="0" w:color="auto"/>
        <w:bottom w:val="none" w:sz="0" w:space="0" w:color="auto"/>
        <w:right w:val="none" w:sz="0" w:space="0" w:color="auto"/>
      </w:divBdr>
    </w:div>
    <w:div w:id="1439639695">
      <w:bodyDiv w:val="1"/>
      <w:marLeft w:val="0"/>
      <w:marRight w:val="0"/>
      <w:marTop w:val="0"/>
      <w:marBottom w:val="0"/>
      <w:divBdr>
        <w:top w:val="none" w:sz="0" w:space="0" w:color="auto"/>
        <w:left w:val="none" w:sz="0" w:space="0" w:color="auto"/>
        <w:bottom w:val="none" w:sz="0" w:space="0" w:color="auto"/>
        <w:right w:val="none" w:sz="0" w:space="0" w:color="auto"/>
      </w:divBdr>
    </w:div>
    <w:div w:id="1442216340">
      <w:bodyDiv w:val="1"/>
      <w:marLeft w:val="0"/>
      <w:marRight w:val="0"/>
      <w:marTop w:val="0"/>
      <w:marBottom w:val="0"/>
      <w:divBdr>
        <w:top w:val="none" w:sz="0" w:space="0" w:color="auto"/>
        <w:left w:val="none" w:sz="0" w:space="0" w:color="auto"/>
        <w:bottom w:val="none" w:sz="0" w:space="0" w:color="auto"/>
        <w:right w:val="none" w:sz="0" w:space="0" w:color="auto"/>
      </w:divBdr>
    </w:div>
    <w:div w:id="1452243004">
      <w:bodyDiv w:val="1"/>
      <w:marLeft w:val="0"/>
      <w:marRight w:val="0"/>
      <w:marTop w:val="0"/>
      <w:marBottom w:val="0"/>
      <w:divBdr>
        <w:top w:val="none" w:sz="0" w:space="0" w:color="auto"/>
        <w:left w:val="none" w:sz="0" w:space="0" w:color="auto"/>
        <w:bottom w:val="none" w:sz="0" w:space="0" w:color="auto"/>
        <w:right w:val="none" w:sz="0" w:space="0" w:color="auto"/>
      </w:divBdr>
    </w:div>
    <w:div w:id="1453985751">
      <w:bodyDiv w:val="1"/>
      <w:marLeft w:val="0"/>
      <w:marRight w:val="0"/>
      <w:marTop w:val="0"/>
      <w:marBottom w:val="0"/>
      <w:divBdr>
        <w:top w:val="none" w:sz="0" w:space="0" w:color="auto"/>
        <w:left w:val="none" w:sz="0" w:space="0" w:color="auto"/>
        <w:bottom w:val="none" w:sz="0" w:space="0" w:color="auto"/>
        <w:right w:val="none" w:sz="0" w:space="0" w:color="auto"/>
      </w:divBdr>
    </w:div>
    <w:div w:id="1472675061">
      <w:bodyDiv w:val="1"/>
      <w:marLeft w:val="0"/>
      <w:marRight w:val="0"/>
      <w:marTop w:val="0"/>
      <w:marBottom w:val="0"/>
      <w:divBdr>
        <w:top w:val="none" w:sz="0" w:space="0" w:color="auto"/>
        <w:left w:val="none" w:sz="0" w:space="0" w:color="auto"/>
        <w:bottom w:val="none" w:sz="0" w:space="0" w:color="auto"/>
        <w:right w:val="none" w:sz="0" w:space="0" w:color="auto"/>
      </w:divBdr>
    </w:div>
    <w:div w:id="1488668843">
      <w:bodyDiv w:val="1"/>
      <w:marLeft w:val="0"/>
      <w:marRight w:val="0"/>
      <w:marTop w:val="0"/>
      <w:marBottom w:val="0"/>
      <w:divBdr>
        <w:top w:val="none" w:sz="0" w:space="0" w:color="auto"/>
        <w:left w:val="none" w:sz="0" w:space="0" w:color="auto"/>
        <w:bottom w:val="none" w:sz="0" w:space="0" w:color="auto"/>
        <w:right w:val="none" w:sz="0" w:space="0" w:color="auto"/>
      </w:divBdr>
    </w:div>
    <w:div w:id="1516457091">
      <w:bodyDiv w:val="1"/>
      <w:marLeft w:val="0"/>
      <w:marRight w:val="0"/>
      <w:marTop w:val="0"/>
      <w:marBottom w:val="0"/>
      <w:divBdr>
        <w:top w:val="none" w:sz="0" w:space="0" w:color="auto"/>
        <w:left w:val="none" w:sz="0" w:space="0" w:color="auto"/>
        <w:bottom w:val="none" w:sz="0" w:space="0" w:color="auto"/>
        <w:right w:val="none" w:sz="0" w:space="0" w:color="auto"/>
      </w:divBdr>
    </w:div>
    <w:div w:id="1529756268">
      <w:bodyDiv w:val="1"/>
      <w:marLeft w:val="0"/>
      <w:marRight w:val="0"/>
      <w:marTop w:val="0"/>
      <w:marBottom w:val="0"/>
      <w:divBdr>
        <w:top w:val="none" w:sz="0" w:space="0" w:color="auto"/>
        <w:left w:val="none" w:sz="0" w:space="0" w:color="auto"/>
        <w:bottom w:val="none" w:sz="0" w:space="0" w:color="auto"/>
        <w:right w:val="none" w:sz="0" w:space="0" w:color="auto"/>
      </w:divBdr>
    </w:div>
    <w:div w:id="1533684810">
      <w:bodyDiv w:val="1"/>
      <w:marLeft w:val="0"/>
      <w:marRight w:val="0"/>
      <w:marTop w:val="0"/>
      <w:marBottom w:val="0"/>
      <w:divBdr>
        <w:top w:val="none" w:sz="0" w:space="0" w:color="auto"/>
        <w:left w:val="none" w:sz="0" w:space="0" w:color="auto"/>
        <w:bottom w:val="none" w:sz="0" w:space="0" w:color="auto"/>
        <w:right w:val="none" w:sz="0" w:space="0" w:color="auto"/>
      </w:divBdr>
    </w:div>
    <w:div w:id="1549879489">
      <w:bodyDiv w:val="1"/>
      <w:marLeft w:val="0"/>
      <w:marRight w:val="0"/>
      <w:marTop w:val="0"/>
      <w:marBottom w:val="0"/>
      <w:divBdr>
        <w:top w:val="none" w:sz="0" w:space="0" w:color="auto"/>
        <w:left w:val="none" w:sz="0" w:space="0" w:color="auto"/>
        <w:bottom w:val="none" w:sz="0" w:space="0" w:color="auto"/>
        <w:right w:val="none" w:sz="0" w:space="0" w:color="auto"/>
      </w:divBdr>
    </w:div>
    <w:div w:id="1581909494">
      <w:bodyDiv w:val="1"/>
      <w:marLeft w:val="0"/>
      <w:marRight w:val="0"/>
      <w:marTop w:val="0"/>
      <w:marBottom w:val="0"/>
      <w:divBdr>
        <w:top w:val="none" w:sz="0" w:space="0" w:color="auto"/>
        <w:left w:val="none" w:sz="0" w:space="0" w:color="auto"/>
        <w:bottom w:val="none" w:sz="0" w:space="0" w:color="auto"/>
        <w:right w:val="none" w:sz="0" w:space="0" w:color="auto"/>
      </w:divBdr>
    </w:div>
    <w:div w:id="1592356068">
      <w:bodyDiv w:val="1"/>
      <w:marLeft w:val="0"/>
      <w:marRight w:val="0"/>
      <w:marTop w:val="0"/>
      <w:marBottom w:val="0"/>
      <w:divBdr>
        <w:top w:val="none" w:sz="0" w:space="0" w:color="auto"/>
        <w:left w:val="none" w:sz="0" w:space="0" w:color="auto"/>
        <w:bottom w:val="none" w:sz="0" w:space="0" w:color="auto"/>
        <w:right w:val="none" w:sz="0" w:space="0" w:color="auto"/>
      </w:divBdr>
    </w:div>
    <w:div w:id="1620256745">
      <w:bodyDiv w:val="1"/>
      <w:marLeft w:val="0"/>
      <w:marRight w:val="0"/>
      <w:marTop w:val="0"/>
      <w:marBottom w:val="0"/>
      <w:divBdr>
        <w:top w:val="none" w:sz="0" w:space="0" w:color="auto"/>
        <w:left w:val="none" w:sz="0" w:space="0" w:color="auto"/>
        <w:bottom w:val="none" w:sz="0" w:space="0" w:color="auto"/>
        <w:right w:val="none" w:sz="0" w:space="0" w:color="auto"/>
      </w:divBdr>
    </w:div>
    <w:div w:id="1690569988">
      <w:bodyDiv w:val="1"/>
      <w:marLeft w:val="0"/>
      <w:marRight w:val="0"/>
      <w:marTop w:val="0"/>
      <w:marBottom w:val="0"/>
      <w:divBdr>
        <w:top w:val="none" w:sz="0" w:space="0" w:color="auto"/>
        <w:left w:val="none" w:sz="0" w:space="0" w:color="auto"/>
        <w:bottom w:val="none" w:sz="0" w:space="0" w:color="auto"/>
        <w:right w:val="none" w:sz="0" w:space="0" w:color="auto"/>
      </w:divBdr>
    </w:div>
    <w:div w:id="1720594356">
      <w:bodyDiv w:val="1"/>
      <w:marLeft w:val="0"/>
      <w:marRight w:val="0"/>
      <w:marTop w:val="0"/>
      <w:marBottom w:val="0"/>
      <w:divBdr>
        <w:top w:val="none" w:sz="0" w:space="0" w:color="auto"/>
        <w:left w:val="none" w:sz="0" w:space="0" w:color="auto"/>
        <w:bottom w:val="none" w:sz="0" w:space="0" w:color="auto"/>
        <w:right w:val="none" w:sz="0" w:space="0" w:color="auto"/>
      </w:divBdr>
    </w:div>
    <w:div w:id="1753156550">
      <w:bodyDiv w:val="1"/>
      <w:marLeft w:val="0"/>
      <w:marRight w:val="0"/>
      <w:marTop w:val="0"/>
      <w:marBottom w:val="0"/>
      <w:divBdr>
        <w:top w:val="none" w:sz="0" w:space="0" w:color="auto"/>
        <w:left w:val="none" w:sz="0" w:space="0" w:color="auto"/>
        <w:bottom w:val="none" w:sz="0" w:space="0" w:color="auto"/>
        <w:right w:val="none" w:sz="0" w:space="0" w:color="auto"/>
      </w:divBdr>
    </w:div>
    <w:div w:id="1755086035">
      <w:bodyDiv w:val="1"/>
      <w:marLeft w:val="0"/>
      <w:marRight w:val="0"/>
      <w:marTop w:val="0"/>
      <w:marBottom w:val="0"/>
      <w:divBdr>
        <w:top w:val="none" w:sz="0" w:space="0" w:color="auto"/>
        <w:left w:val="none" w:sz="0" w:space="0" w:color="auto"/>
        <w:bottom w:val="none" w:sz="0" w:space="0" w:color="auto"/>
        <w:right w:val="none" w:sz="0" w:space="0" w:color="auto"/>
      </w:divBdr>
    </w:div>
    <w:div w:id="1761368745">
      <w:bodyDiv w:val="1"/>
      <w:marLeft w:val="0"/>
      <w:marRight w:val="0"/>
      <w:marTop w:val="0"/>
      <w:marBottom w:val="0"/>
      <w:divBdr>
        <w:top w:val="none" w:sz="0" w:space="0" w:color="auto"/>
        <w:left w:val="none" w:sz="0" w:space="0" w:color="auto"/>
        <w:bottom w:val="none" w:sz="0" w:space="0" w:color="auto"/>
        <w:right w:val="none" w:sz="0" w:space="0" w:color="auto"/>
      </w:divBdr>
    </w:div>
    <w:div w:id="1787850973">
      <w:bodyDiv w:val="1"/>
      <w:marLeft w:val="0"/>
      <w:marRight w:val="0"/>
      <w:marTop w:val="0"/>
      <w:marBottom w:val="0"/>
      <w:divBdr>
        <w:top w:val="none" w:sz="0" w:space="0" w:color="auto"/>
        <w:left w:val="none" w:sz="0" w:space="0" w:color="auto"/>
        <w:bottom w:val="none" w:sz="0" w:space="0" w:color="auto"/>
        <w:right w:val="none" w:sz="0" w:space="0" w:color="auto"/>
      </w:divBdr>
    </w:div>
    <w:div w:id="1790974233">
      <w:bodyDiv w:val="1"/>
      <w:marLeft w:val="0"/>
      <w:marRight w:val="0"/>
      <w:marTop w:val="0"/>
      <w:marBottom w:val="0"/>
      <w:divBdr>
        <w:top w:val="none" w:sz="0" w:space="0" w:color="auto"/>
        <w:left w:val="none" w:sz="0" w:space="0" w:color="auto"/>
        <w:bottom w:val="none" w:sz="0" w:space="0" w:color="auto"/>
        <w:right w:val="none" w:sz="0" w:space="0" w:color="auto"/>
      </w:divBdr>
    </w:div>
    <w:div w:id="1805655878">
      <w:bodyDiv w:val="1"/>
      <w:marLeft w:val="0"/>
      <w:marRight w:val="0"/>
      <w:marTop w:val="0"/>
      <w:marBottom w:val="0"/>
      <w:divBdr>
        <w:top w:val="none" w:sz="0" w:space="0" w:color="auto"/>
        <w:left w:val="none" w:sz="0" w:space="0" w:color="auto"/>
        <w:bottom w:val="none" w:sz="0" w:space="0" w:color="auto"/>
        <w:right w:val="none" w:sz="0" w:space="0" w:color="auto"/>
      </w:divBdr>
    </w:div>
    <w:div w:id="1833983711">
      <w:bodyDiv w:val="1"/>
      <w:marLeft w:val="0"/>
      <w:marRight w:val="0"/>
      <w:marTop w:val="0"/>
      <w:marBottom w:val="0"/>
      <w:divBdr>
        <w:top w:val="none" w:sz="0" w:space="0" w:color="auto"/>
        <w:left w:val="none" w:sz="0" w:space="0" w:color="auto"/>
        <w:bottom w:val="none" w:sz="0" w:space="0" w:color="auto"/>
        <w:right w:val="none" w:sz="0" w:space="0" w:color="auto"/>
      </w:divBdr>
    </w:div>
    <w:div w:id="1875193953">
      <w:bodyDiv w:val="1"/>
      <w:marLeft w:val="0"/>
      <w:marRight w:val="0"/>
      <w:marTop w:val="0"/>
      <w:marBottom w:val="0"/>
      <w:divBdr>
        <w:top w:val="none" w:sz="0" w:space="0" w:color="auto"/>
        <w:left w:val="none" w:sz="0" w:space="0" w:color="auto"/>
        <w:bottom w:val="none" w:sz="0" w:space="0" w:color="auto"/>
        <w:right w:val="none" w:sz="0" w:space="0" w:color="auto"/>
      </w:divBdr>
    </w:div>
    <w:div w:id="1897202756">
      <w:bodyDiv w:val="1"/>
      <w:marLeft w:val="0"/>
      <w:marRight w:val="0"/>
      <w:marTop w:val="0"/>
      <w:marBottom w:val="0"/>
      <w:divBdr>
        <w:top w:val="none" w:sz="0" w:space="0" w:color="auto"/>
        <w:left w:val="none" w:sz="0" w:space="0" w:color="auto"/>
        <w:bottom w:val="none" w:sz="0" w:space="0" w:color="auto"/>
        <w:right w:val="none" w:sz="0" w:space="0" w:color="auto"/>
      </w:divBdr>
    </w:div>
    <w:div w:id="1941256294">
      <w:bodyDiv w:val="1"/>
      <w:marLeft w:val="0"/>
      <w:marRight w:val="0"/>
      <w:marTop w:val="0"/>
      <w:marBottom w:val="0"/>
      <w:divBdr>
        <w:top w:val="none" w:sz="0" w:space="0" w:color="auto"/>
        <w:left w:val="none" w:sz="0" w:space="0" w:color="auto"/>
        <w:bottom w:val="none" w:sz="0" w:space="0" w:color="auto"/>
        <w:right w:val="none" w:sz="0" w:space="0" w:color="auto"/>
      </w:divBdr>
    </w:div>
    <w:div w:id="1972444009">
      <w:bodyDiv w:val="1"/>
      <w:marLeft w:val="0"/>
      <w:marRight w:val="0"/>
      <w:marTop w:val="0"/>
      <w:marBottom w:val="0"/>
      <w:divBdr>
        <w:top w:val="none" w:sz="0" w:space="0" w:color="auto"/>
        <w:left w:val="none" w:sz="0" w:space="0" w:color="auto"/>
        <w:bottom w:val="none" w:sz="0" w:space="0" w:color="auto"/>
        <w:right w:val="none" w:sz="0" w:space="0" w:color="auto"/>
      </w:divBdr>
    </w:div>
    <w:div w:id="2011518338">
      <w:bodyDiv w:val="1"/>
      <w:marLeft w:val="0"/>
      <w:marRight w:val="0"/>
      <w:marTop w:val="0"/>
      <w:marBottom w:val="0"/>
      <w:divBdr>
        <w:top w:val="none" w:sz="0" w:space="0" w:color="auto"/>
        <w:left w:val="none" w:sz="0" w:space="0" w:color="auto"/>
        <w:bottom w:val="none" w:sz="0" w:space="0" w:color="auto"/>
        <w:right w:val="none" w:sz="0" w:space="0" w:color="auto"/>
      </w:divBdr>
    </w:div>
    <w:div w:id="2013533838">
      <w:bodyDiv w:val="1"/>
      <w:marLeft w:val="0"/>
      <w:marRight w:val="0"/>
      <w:marTop w:val="0"/>
      <w:marBottom w:val="0"/>
      <w:divBdr>
        <w:top w:val="none" w:sz="0" w:space="0" w:color="auto"/>
        <w:left w:val="none" w:sz="0" w:space="0" w:color="auto"/>
        <w:bottom w:val="none" w:sz="0" w:space="0" w:color="auto"/>
        <w:right w:val="none" w:sz="0" w:space="0" w:color="auto"/>
      </w:divBdr>
    </w:div>
    <w:div w:id="2053118712">
      <w:bodyDiv w:val="1"/>
      <w:marLeft w:val="0"/>
      <w:marRight w:val="0"/>
      <w:marTop w:val="0"/>
      <w:marBottom w:val="0"/>
      <w:divBdr>
        <w:top w:val="none" w:sz="0" w:space="0" w:color="auto"/>
        <w:left w:val="none" w:sz="0" w:space="0" w:color="auto"/>
        <w:bottom w:val="none" w:sz="0" w:space="0" w:color="auto"/>
        <w:right w:val="none" w:sz="0" w:space="0" w:color="auto"/>
      </w:divBdr>
    </w:div>
    <w:div w:id="2089959555">
      <w:bodyDiv w:val="1"/>
      <w:marLeft w:val="0"/>
      <w:marRight w:val="0"/>
      <w:marTop w:val="0"/>
      <w:marBottom w:val="0"/>
      <w:divBdr>
        <w:top w:val="none" w:sz="0" w:space="0" w:color="auto"/>
        <w:left w:val="none" w:sz="0" w:space="0" w:color="auto"/>
        <w:bottom w:val="none" w:sz="0" w:space="0" w:color="auto"/>
        <w:right w:val="none" w:sz="0" w:space="0" w:color="auto"/>
      </w:divBdr>
    </w:div>
    <w:div w:id="2128549872">
      <w:bodyDiv w:val="1"/>
      <w:marLeft w:val="0"/>
      <w:marRight w:val="0"/>
      <w:marTop w:val="0"/>
      <w:marBottom w:val="0"/>
      <w:divBdr>
        <w:top w:val="none" w:sz="0" w:space="0" w:color="auto"/>
        <w:left w:val="none" w:sz="0" w:space="0" w:color="auto"/>
        <w:bottom w:val="none" w:sz="0" w:space="0" w:color="auto"/>
        <w:right w:val="none" w:sz="0" w:space="0" w:color="auto"/>
      </w:divBdr>
    </w:div>
    <w:div w:id="21305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E74D-1172-472B-B2D6-9D9BEFBD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1931</Words>
  <Characters>11009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Marilyn</dc:creator>
  <cp:lastModifiedBy>bperea</cp:lastModifiedBy>
  <cp:revision>2</cp:revision>
  <cp:lastPrinted>2015-10-30T18:36:00Z</cp:lastPrinted>
  <dcterms:created xsi:type="dcterms:W3CDTF">2015-11-12T02:24:00Z</dcterms:created>
  <dcterms:modified xsi:type="dcterms:W3CDTF">2015-11-12T02:24:00Z</dcterms:modified>
</cp:coreProperties>
</file>